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80" w:type="dxa"/>
        <w:jc w:val="start"/>
        <w:tblInd w:w="-612" w:type="dxa"/>
        <w:tblLayout w:type="fixed"/>
        <w:tblCellMar>
          <w:top w:w="0" w:type="dxa"/>
          <w:start w:w="108" w:type="dxa"/>
          <w:bottom w:w="0" w:type="dxa"/>
          <w:end w:w="108" w:type="dxa"/>
        </w:tblCellMar>
      </w:tblPr>
      <w:tblGrid>
        <w:gridCol w:w="10080"/>
      </w:tblGrid>
      <w:tr>
        <w:trPr/>
        <w:tc>
          <w:tcPr>
            <w:tcW w:w="10080" w:type="dxa"/>
            <w:tcBorders>
              <w:top w:val="thickThinLargeGap" w:sz="24" w:space="0" w:color="C0C0C0"/>
              <w:start w:val="thickThinLargeGap" w:sz="24" w:space="0" w:color="C0C0C0"/>
              <w:bottom w:val="thickThinLargeGap" w:sz="6" w:space="0" w:color="C0C0C0"/>
              <w:end w:val="thickThinLargeGap" w:sz="24" w:space="0" w:color="C0C0C0"/>
            </w:tcBorders>
          </w:tcPr>
          <w:p>
            <w:pPr>
              <w:pStyle w:val="Header"/>
              <w:tabs>
                <w:tab w:val="clear" w:pos="4320"/>
                <w:tab w:val="clear" w:pos="8640"/>
              </w:tabs>
              <w:jc w:val="center"/>
              <w:rPr>
                <w:b/>
                <w:bCs/>
              </w:rPr>
            </w:pPr>
            <w:r>
              <w:rPr>
                <w:b/>
                <w:bCs/>
              </w:rPr>
              <w:t>Workforce Diversity</w:t>
            </w:r>
          </w:p>
          <w:p>
            <w:pPr>
              <w:pStyle w:val="Header"/>
              <w:numPr>
                <w:ilvl w:val="0"/>
                <w:numId w:val="5"/>
              </w:numPr>
              <w:tabs>
                <w:tab w:val="clear" w:pos="4320"/>
                <w:tab w:val="clear" w:pos="8640"/>
                <w:tab w:val="left" w:pos="692" w:leader="none"/>
              </w:tabs>
              <w:ind w:hanging="692" w:start="692" w:end="0"/>
              <w:rPr>
                <w:sz w:val="20"/>
              </w:rPr>
            </w:pPr>
            <w:r>
              <w:rPr>
                <w:sz w:val="20"/>
              </w:rPr>
              <w:t xml:space="preserve">In EES, some of our high potential, diverse employees in commercial roles launched a grassroots diversity initiative.  This effort is sponsored and led by the business unit president.  We have brought a Council together of some of our highest potential African American, Hispanic and women commercial employees in EES.    At this point we are breaking into sub groups to understand the potential needs within each area.  The objective is to ensure access to key people, meaningful exchange of ideas and discussions centered on performance-based actions and to ensure that people know who the potential talents are in the organization and doing everything we can to get the right roles and responsibilities to them.  </w:t>
            </w:r>
          </w:p>
          <w:p>
            <w:pPr>
              <w:pStyle w:val="Header"/>
              <w:numPr>
                <w:ilvl w:val="0"/>
                <w:numId w:val="5"/>
              </w:numPr>
              <w:tabs>
                <w:tab w:val="clear" w:pos="4320"/>
                <w:tab w:val="clear" w:pos="8640"/>
                <w:tab w:val="left" w:pos="720" w:leader="none"/>
              </w:tabs>
              <w:ind w:hanging="720" w:start="720" w:end="0"/>
              <w:rPr>
                <w:sz w:val="20"/>
              </w:rPr>
            </w:pPr>
            <w:r>
              <w:rPr>
                <w:sz w:val="20"/>
              </w:rPr>
              <w:t>The EWS Global Technology Track has made a concerted effort to increase its women and minority employee population, which is currently at 40%.  This effort is sponsored and encouraged by a technology executive female.  We have increased the diversity of the interviewing teams, which has resulted in our success.  As we recruit at the technology schools, emphasis has been on minorities and women.  They are invited to Enron during a special recruiting event called Fantastic Friday where they go through a second round of interviews and participate in activities which allows them to experience Enron’s working environment.</w:t>
            </w:r>
          </w:p>
          <w:p>
            <w:pPr>
              <w:pStyle w:val="Header"/>
              <w:numPr>
                <w:ilvl w:val="0"/>
                <w:numId w:val="5"/>
              </w:numPr>
              <w:tabs>
                <w:tab w:val="clear" w:pos="4320"/>
                <w:tab w:val="clear" w:pos="8640"/>
                <w:tab w:val="left" w:pos="720" w:leader="none"/>
              </w:tabs>
              <w:ind w:hanging="720" w:start="720" w:end="0"/>
              <w:rPr>
                <w:sz w:val="20"/>
              </w:rPr>
            </w:pPr>
            <w:r>
              <w:rPr>
                <w:sz w:val="20"/>
              </w:rPr>
              <w:t xml:space="preserve">Enron actively participated in this year’s National Black MBA Association Conference, bringing over 30 business people to the conference.  120 interviews were conducted; 350 resumes were collected and are currently being reviewed.  24 candidates were immediately identified to participate in our Super Saturday with a second round of interviews for our Associate Analyst program. </w:t>
            </w:r>
          </w:p>
          <w:p>
            <w:pPr>
              <w:pStyle w:val="Header"/>
              <w:numPr>
                <w:ilvl w:val="0"/>
                <w:numId w:val="5"/>
              </w:numPr>
              <w:tabs>
                <w:tab w:val="clear" w:pos="4320"/>
                <w:tab w:val="clear" w:pos="8640"/>
                <w:tab w:val="left" w:pos="720" w:leader="none"/>
              </w:tabs>
              <w:ind w:hanging="720" w:start="720" w:end="0"/>
              <w:rPr/>
            </w:pPr>
            <w:r>
              <w:rPr>
                <w:sz w:val="20"/>
              </w:rPr>
              <w:t>Enron will also be participating in the National Society of Hispanic MBA Conference in San Antonio in November.</w:t>
            </w:r>
          </w:p>
          <w:p>
            <w:pPr>
              <w:pStyle w:val="Header"/>
              <w:numPr>
                <w:ilvl w:val="0"/>
                <w:numId w:val="5"/>
              </w:numPr>
              <w:tabs>
                <w:tab w:val="clear" w:pos="4320"/>
                <w:tab w:val="clear" w:pos="8640"/>
              </w:tabs>
              <w:ind w:hanging="720" w:start="720" w:end="0"/>
              <w:rPr>
                <w:i/>
                <w:i/>
                <w:iCs/>
              </w:rPr>
            </w:pPr>
            <w:r>
              <w:rPr>
                <w:sz w:val="20"/>
              </w:rPr>
              <w:t>Enron combines the HR compliance aspect into its diversity efforts.  We audit compensation and employment practices such as staffing, performance management, promotions and terminations.</w:t>
            </w:r>
          </w:p>
          <w:p>
            <w:pPr>
              <w:pStyle w:val="Header"/>
              <w:tabs>
                <w:tab w:val="clear" w:pos="4320"/>
                <w:tab w:val="clear" w:pos="8640"/>
              </w:tabs>
              <w:rPr>
                <w:b/>
                <w:bCs/>
                <w:i/>
                <w:i/>
                <w:iCs/>
              </w:rPr>
            </w:pPr>
            <w:r>
              <w:rPr>
                <w:b/>
                <w:bCs/>
                <w:i/>
                <w:iCs/>
              </w:rPr>
            </w:r>
          </w:p>
          <w:p>
            <w:pPr>
              <w:pStyle w:val="Header"/>
              <w:tabs>
                <w:tab w:val="clear" w:pos="4320"/>
                <w:tab w:val="clear" w:pos="8640"/>
              </w:tabs>
              <w:rPr>
                <w:b/>
                <w:bCs/>
                <w:i/>
                <w:i/>
                <w:iCs/>
              </w:rPr>
            </w:pPr>
            <w:r>
              <w:rPr>
                <w:b/>
                <w:bCs/>
                <w:i/>
                <w:iCs/>
              </w:rPr>
              <w:t>Proposed Programs:</w:t>
            </w:r>
          </w:p>
          <w:p>
            <w:pPr>
              <w:pStyle w:val="Header"/>
              <w:numPr>
                <w:ilvl w:val="0"/>
                <w:numId w:val="4"/>
              </w:numPr>
              <w:tabs>
                <w:tab w:val="clear" w:pos="4320"/>
                <w:tab w:val="clear" w:pos="8640"/>
                <w:tab w:val="left" w:pos="692" w:leader="none"/>
              </w:tabs>
              <w:ind w:hanging="692" w:start="692" w:end="0"/>
              <w:rPr>
                <w:sz w:val="20"/>
              </w:rPr>
            </w:pPr>
            <w:r>
              <w:rPr>
                <w:sz w:val="20"/>
              </w:rPr>
              <w:t xml:space="preserve">Establishment of diversity accountability standards and rewards utilizing our performance management process, which will identify “Rising Stars”.  This will be regularly communicated to the Enron Management Committee. </w:t>
            </w:r>
          </w:p>
          <w:p>
            <w:pPr>
              <w:pStyle w:val="Header"/>
              <w:numPr>
                <w:ilvl w:val="0"/>
                <w:numId w:val="4"/>
              </w:numPr>
              <w:tabs>
                <w:tab w:val="clear" w:pos="4320"/>
                <w:tab w:val="clear" w:pos="8640"/>
              </w:tabs>
              <w:ind w:hanging="692" w:start="692" w:end="0"/>
              <w:rPr>
                <w:sz w:val="20"/>
              </w:rPr>
            </w:pPr>
            <w:r>
              <w:rPr>
                <w:sz w:val="20"/>
              </w:rPr>
              <w:t>Creation of a mentoring program for all employees.  This program will have options:  Buddy, /Volunteer, Pre-arranged, Hybrid, Forma/Informal.</w:t>
            </w:r>
          </w:p>
          <w:p>
            <w:pPr>
              <w:pStyle w:val="Header"/>
              <w:numPr>
                <w:ilvl w:val="0"/>
                <w:numId w:val="4"/>
              </w:numPr>
              <w:tabs>
                <w:tab w:val="clear" w:pos="4320"/>
                <w:tab w:val="clear" w:pos="8640"/>
                <w:tab w:val="left" w:pos="692" w:leader="none"/>
              </w:tabs>
              <w:ind w:hanging="692" w:start="692" w:end="0"/>
              <w:rPr>
                <w:sz w:val="20"/>
              </w:rPr>
            </w:pPr>
            <w:r>
              <w:rPr>
                <w:sz w:val="20"/>
              </w:rPr>
              <w:t>Creation of external relationships via “Diversity Board of Directors” which could include organizations like the NAACP, NABMBA, NSHMBS.</w:t>
            </w:r>
          </w:p>
          <w:p>
            <w:pPr>
              <w:pStyle w:val="Header"/>
              <w:numPr>
                <w:ilvl w:val="0"/>
                <w:numId w:val="4"/>
              </w:numPr>
              <w:tabs>
                <w:tab w:val="clear" w:pos="4320"/>
                <w:tab w:val="clear" w:pos="8640"/>
              </w:tabs>
              <w:rPr>
                <w:i/>
                <w:i/>
                <w:iCs/>
              </w:rPr>
            </w:pPr>
            <w:r>
              <w:rPr>
                <w:sz w:val="20"/>
              </w:rPr>
              <w:t>Development and implementation of web enabled training tools</w:t>
            </w:r>
          </w:p>
          <w:p>
            <w:pPr>
              <w:pStyle w:val="Header"/>
              <w:tabs>
                <w:tab w:val="clear" w:pos="4320"/>
                <w:tab w:val="clear" w:pos="8640"/>
              </w:tabs>
              <w:rPr>
                <w:i/>
                <w:i/>
                <w:iCs/>
              </w:rPr>
            </w:pPr>
            <w:r>
              <w:rPr>
                <w:i/>
                <w:iCs/>
              </w:rPr>
            </w:r>
          </w:p>
        </w:tc>
      </w:tr>
      <w:tr>
        <w:trPr/>
        <w:tc>
          <w:tcPr>
            <w:tcW w:w="10080" w:type="dxa"/>
            <w:tcBorders>
              <w:top w:val="thickThinLargeGap" w:sz="6" w:space="0" w:color="C0C0C0"/>
              <w:start w:val="thickThinLargeGap" w:sz="24" w:space="0" w:color="C0C0C0"/>
              <w:bottom w:val="thickThinLargeGap" w:sz="6" w:space="0" w:color="C0C0C0"/>
              <w:end w:val="thickThinLargeGap" w:sz="24" w:space="0" w:color="C0C0C0"/>
            </w:tcBorders>
          </w:tcPr>
          <w:p>
            <w:pPr>
              <w:pStyle w:val="Heading1"/>
              <w:ind w:hanging="0" w:start="0"/>
              <w:rPr/>
            </w:pPr>
            <w:r>
              <w:rPr/>
              <w:t>Community Relations</w:t>
            </w:r>
          </w:p>
          <w:p>
            <w:pPr>
              <w:pStyle w:val="Header"/>
              <w:numPr>
                <w:ilvl w:val="0"/>
                <w:numId w:val="2"/>
              </w:numPr>
              <w:tabs>
                <w:tab w:val="clear" w:pos="4320"/>
                <w:tab w:val="clear" w:pos="8640"/>
                <w:tab w:val="left" w:pos="692" w:leader="none"/>
              </w:tabs>
              <w:ind w:hanging="692" w:start="692" w:end="0"/>
              <w:rPr>
                <w:sz w:val="20"/>
              </w:rPr>
            </w:pPr>
            <w:r>
              <w:rPr>
                <w:sz w:val="20"/>
              </w:rPr>
              <w:t xml:space="preserve">Enron supports entrepreneurship among women and minorities through continued support of several local groups that help develop entrepreneurs and provide technical assistance to small businesses.  In 2000, Enron gave $3.35 million to non-profits focused on diverse communities.   </w:t>
            </w:r>
          </w:p>
          <w:p>
            <w:pPr>
              <w:pStyle w:val="Header"/>
              <w:numPr>
                <w:ilvl w:val="0"/>
                <w:numId w:val="2"/>
              </w:numPr>
              <w:tabs>
                <w:tab w:val="clear" w:pos="4320"/>
                <w:tab w:val="clear" w:pos="8640"/>
                <w:tab w:val="left" w:pos="692" w:leader="none"/>
              </w:tabs>
              <w:ind w:hanging="692" w:start="692" w:end="0"/>
              <w:rPr>
                <w:sz w:val="20"/>
              </w:rPr>
            </w:pPr>
            <w:r>
              <w:rPr>
                <w:sz w:val="20"/>
              </w:rPr>
              <w:t xml:space="preserve">Enron supports a variety of organizations that are working to improve the communities where our employees, customers and colleagues live and work.  For example, Enron and Technology For All are teaming to bridge the digital divide by providing technology access and educational resources to disadvantaged students throughout North America.  </w:t>
            </w:r>
          </w:p>
          <w:p>
            <w:pPr>
              <w:pStyle w:val="Header"/>
              <w:numPr>
                <w:ilvl w:val="0"/>
                <w:numId w:val="2"/>
              </w:numPr>
              <w:tabs>
                <w:tab w:val="clear" w:pos="4320"/>
                <w:tab w:val="clear" w:pos="8640"/>
                <w:tab w:val="left" w:pos="692" w:leader="none"/>
              </w:tabs>
              <w:ind w:hanging="692" w:start="692" w:end="0"/>
              <w:rPr>
                <w:sz w:val="20"/>
              </w:rPr>
            </w:pPr>
            <w:r>
              <w:rPr>
                <w:sz w:val="20"/>
              </w:rPr>
              <w:t>Enron, along with the United Way, sponsors the United Way Scholars Program, which is targeted to helping youth who are in the middle of the support continuum achieve academic success and ultimately attain employment in the high technology sector.</w:t>
            </w:r>
          </w:p>
          <w:p>
            <w:pPr>
              <w:pStyle w:val="NormalWeb"/>
              <w:numPr>
                <w:ilvl w:val="0"/>
                <w:numId w:val="2"/>
              </w:numPr>
              <w:ind w:hanging="692" w:start="692" w:end="0"/>
              <w:rPr>
                <w:rFonts w:ascii="Times New Roman" w:hAnsi="Times New Roman" w:eastAsia="Times New Roman" w:cs="Times New Roman"/>
                <w:sz w:val="20"/>
              </w:rPr>
            </w:pPr>
            <w:r>
              <w:rPr>
                <w:rFonts w:eastAsia="Times New Roman" w:cs="Times New Roman" w:ascii="Times New Roman" w:hAnsi="Times New Roman"/>
                <w:sz w:val="20"/>
              </w:rPr>
              <w:t>Enron supports Project GRAD, which is a collaborative effort between schools and the community to address the educational needs of the inner-city school system. The philosophy guiding the program is that all pre-kindergarten through 12th grade students can be effective learners, regardless of demographic background, if appropriate and timely programmatic interventions are infused beginning with the primary grades.</w:t>
            </w:r>
          </w:p>
          <w:p>
            <w:pPr>
              <w:pStyle w:val="Header"/>
              <w:numPr>
                <w:ilvl w:val="0"/>
                <w:numId w:val="2"/>
              </w:numPr>
              <w:tabs>
                <w:tab w:val="clear" w:pos="4320"/>
                <w:tab w:val="clear" w:pos="8640"/>
                <w:tab w:val="left" w:pos="692" w:leader="none"/>
              </w:tabs>
              <w:ind w:hanging="692" w:start="692" w:end="0"/>
              <w:rPr>
                <w:sz w:val="20"/>
              </w:rPr>
            </w:pPr>
            <w:r>
              <w:rPr>
                <w:sz w:val="20"/>
              </w:rPr>
              <w:t xml:space="preserve">Enron is promoting literacy among Houston-area children through the Prescription for Reading program, which brings books to preschool through pediatric offices.  </w:t>
            </w:r>
          </w:p>
          <w:p>
            <w:pPr>
              <w:pStyle w:val="Header"/>
              <w:numPr>
                <w:ilvl w:val="0"/>
                <w:numId w:val="2"/>
              </w:numPr>
              <w:tabs>
                <w:tab w:val="clear" w:pos="4320"/>
                <w:tab w:val="clear" w:pos="8640"/>
              </w:tabs>
              <w:ind w:hanging="692" w:start="692" w:end="0"/>
              <w:rPr>
                <w:sz w:val="20"/>
              </w:rPr>
            </w:pPr>
            <w:r>
              <w:rPr>
                <w:sz w:val="20"/>
              </w:rPr>
              <w:t xml:space="preserve">Other programs of which Enron is actively involved in include United Way, The Human Race, African American Museum, NAACP annually, Catalyst, Chinese Community Center, Allen Meatre’s Barbara Jordan Project, Ensemble Theatre and Association for Advancement of Mexican Americans. </w:t>
            </w:r>
          </w:p>
          <w:p>
            <w:pPr>
              <w:pStyle w:val="Header"/>
              <w:tabs>
                <w:tab w:val="clear" w:pos="4320"/>
                <w:tab w:val="clear" w:pos="8640"/>
              </w:tabs>
              <w:rPr>
                <w:sz w:val="20"/>
              </w:rPr>
            </w:pPr>
            <w:r>
              <w:rPr>
                <w:sz w:val="20"/>
              </w:rPr>
            </w:r>
          </w:p>
        </w:tc>
      </w:tr>
      <w:tr>
        <w:trPr/>
        <w:tc>
          <w:tcPr>
            <w:tcW w:w="10080" w:type="dxa"/>
            <w:tcBorders>
              <w:top w:val="thickThinLargeGap" w:sz="6" w:space="0" w:color="C0C0C0"/>
              <w:start w:val="thickThinLargeGap" w:sz="24" w:space="0" w:color="C0C0C0"/>
              <w:bottom w:val="thickThinLargeGap" w:sz="6" w:space="0" w:color="C0C0C0"/>
              <w:end w:val="thickThinLargeGap" w:sz="24" w:space="0" w:color="C0C0C0"/>
            </w:tcBorders>
          </w:tcPr>
          <w:p>
            <w:pPr>
              <w:pStyle w:val="Heading1"/>
              <w:ind w:hanging="0" w:start="0"/>
              <w:rPr/>
            </w:pPr>
            <w:r>
              <w:rPr/>
              <w:t>Minority &amp; Women Business Development</w:t>
            </w:r>
          </w:p>
          <w:p>
            <w:pPr>
              <w:pStyle w:val="Header"/>
              <w:numPr>
                <w:ilvl w:val="0"/>
                <w:numId w:val="2"/>
              </w:numPr>
              <w:tabs>
                <w:tab w:val="clear" w:pos="4320"/>
                <w:tab w:val="clear" w:pos="8640"/>
                <w:tab w:val="left" w:pos="692" w:leader="none"/>
              </w:tabs>
              <w:ind w:hanging="692" w:start="692" w:end="0"/>
              <w:rPr>
                <w:sz w:val="20"/>
              </w:rPr>
            </w:pPr>
            <w:r>
              <w:rPr>
                <w:sz w:val="20"/>
              </w:rPr>
              <w:t>Enron maintains an active effort to develop supplier diversity.  15% of impactable spend is targeted with minority- or women-owned business enterprises.  In 2000, Enron spent over $200 million.</w:t>
            </w:r>
          </w:p>
          <w:p>
            <w:pPr>
              <w:pStyle w:val="Header"/>
              <w:numPr>
                <w:ilvl w:val="0"/>
                <w:numId w:val="2"/>
              </w:numPr>
              <w:tabs>
                <w:tab w:val="clear" w:pos="4320"/>
                <w:tab w:val="clear" w:pos="8640"/>
                <w:tab w:val="left" w:pos="692" w:leader="none"/>
              </w:tabs>
              <w:ind w:hanging="692" w:start="692" w:end="0"/>
              <w:rPr>
                <w:sz w:val="20"/>
              </w:rPr>
            </w:pPr>
            <w:r>
              <w:rPr>
                <w:sz w:val="20"/>
              </w:rPr>
              <w:t xml:space="preserve">One of our supplier diversity initiatives that we are most proud of is the commitment to use M/WBE for 26% spend on the construction of the new Enron Center building in downtown Houston.  In 2000 alone $33 M was spent with M/WBE sub-contractors. </w:t>
            </w:r>
          </w:p>
          <w:p>
            <w:pPr>
              <w:pStyle w:val="Header"/>
              <w:numPr>
                <w:ilvl w:val="0"/>
                <w:numId w:val="2"/>
              </w:numPr>
              <w:tabs>
                <w:tab w:val="clear" w:pos="4320"/>
                <w:tab w:val="clear" w:pos="8640"/>
                <w:tab w:val="left" w:pos="692" w:leader="none"/>
              </w:tabs>
              <w:ind w:hanging="692" w:start="692" w:end="0"/>
              <w:rPr>
                <w:sz w:val="20"/>
              </w:rPr>
            </w:pPr>
            <w:r>
              <w:rPr>
                <w:sz w:val="20"/>
              </w:rPr>
              <w:t xml:space="preserve">On July 11, 2001 Enron received the MBE Procurement Award from the Houston Minority Business Council in recognition of our commitment to minority business development evidenced by consistent increase in dollars spent with Minority Business Enterprises. </w:t>
            </w:r>
          </w:p>
          <w:p>
            <w:pPr>
              <w:pStyle w:val="Header"/>
              <w:numPr>
                <w:ilvl w:val="0"/>
                <w:numId w:val="2"/>
              </w:numPr>
              <w:tabs>
                <w:tab w:val="clear" w:pos="4320"/>
                <w:tab w:val="clear" w:pos="8640"/>
                <w:tab w:val="left" w:pos="692" w:leader="none"/>
              </w:tabs>
              <w:ind w:hanging="692" w:start="692" w:end="0"/>
              <w:rPr>
                <w:sz w:val="20"/>
              </w:rPr>
            </w:pPr>
            <w:r>
              <w:rPr>
                <w:sz w:val="20"/>
              </w:rPr>
              <w:t xml:space="preserve">Enron is establishing second tier M/WBE spend programs with our prime suppliers who do not currently have an established program.  </w:t>
            </w:r>
          </w:p>
          <w:p>
            <w:pPr>
              <w:pStyle w:val="Header"/>
              <w:numPr>
                <w:ilvl w:val="0"/>
                <w:numId w:val="2"/>
              </w:numPr>
              <w:tabs>
                <w:tab w:val="clear" w:pos="4320"/>
                <w:tab w:val="clear" w:pos="8640"/>
                <w:tab w:val="left" w:pos="692" w:leader="none"/>
              </w:tabs>
              <w:ind w:hanging="692" w:start="692" w:end="0"/>
              <w:rPr>
                <w:sz w:val="20"/>
              </w:rPr>
            </w:pPr>
            <w:r>
              <w:rPr>
                <w:sz w:val="20"/>
              </w:rPr>
              <w:t>Enron has conducted on-site Opportunity Fairs in 2000 and 2001 in the area of human resources and information technology services.  MWBE were provided one-on-one interviews with Enron management.  As a result, Enron received the 2001 Professional Services Advocacy award for the Houston Minority Business Council.</w:t>
            </w:r>
          </w:p>
          <w:p>
            <w:pPr>
              <w:pStyle w:val="Normal"/>
              <w:numPr>
                <w:ilvl w:val="0"/>
                <w:numId w:val="3"/>
              </w:numPr>
              <w:tabs>
                <w:tab w:val="clear" w:pos="720"/>
                <w:tab w:val="left" w:pos="692" w:leader="none"/>
              </w:tabs>
              <w:ind w:hanging="692" w:start="692" w:end="0"/>
              <w:rPr>
                <w:sz w:val="20"/>
              </w:rPr>
            </w:pPr>
            <w:r>
              <w:rPr>
                <w:sz w:val="20"/>
              </w:rPr>
              <w:t>Enron Seeks out new suppliers, coaches potential suppliers and created a Mentor-Protégé program for mentoring minority and women owned businesses, regardless if they are current suppliers of Enron or not.</w:t>
            </w:r>
          </w:p>
          <w:p>
            <w:pPr>
              <w:pStyle w:val="Header"/>
              <w:numPr>
                <w:ilvl w:val="0"/>
                <w:numId w:val="2"/>
              </w:numPr>
              <w:tabs>
                <w:tab w:val="clear" w:pos="4320"/>
                <w:tab w:val="clear" w:pos="8640"/>
                <w:tab w:val="left" w:pos="692" w:leader="none"/>
              </w:tabs>
              <w:ind w:hanging="692" w:start="692" w:end="0"/>
              <w:rPr>
                <w:sz w:val="20"/>
              </w:rPr>
            </w:pPr>
            <w:r>
              <w:rPr>
                <w:sz w:val="20"/>
              </w:rPr>
              <w:t>Enron is working with Gerald Smith to pilot the utilization of 15 of the largest minority owned, professional services firms in Houston.</w:t>
            </w:r>
          </w:p>
          <w:p>
            <w:pPr>
              <w:pStyle w:val="Header"/>
              <w:tabs>
                <w:tab w:val="clear" w:pos="4320"/>
                <w:tab w:val="clear" w:pos="8640"/>
              </w:tabs>
              <w:rPr>
                <w:sz w:val="20"/>
              </w:rPr>
            </w:pPr>
            <w:r>
              <w:rPr>
                <w:sz w:val="20"/>
              </w:rPr>
            </w:r>
          </w:p>
        </w:tc>
      </w:tr>
      <w:tr>
        <w:trPr/>
        <w:tc>
          <w:tcPr>
            <w:tcW w:w="10080" w:type="dxa"/>
            <w:tcBorders>
              <w:top w:val="thickThinLargeGap" w:sz="6" w:space="0" w:color="C0C0C0"/>
              <w:start w:val="thickThinLargeGap" w:sz="24" w:space="0" w:color="C0C0C0"/>
              <w:bottom w:val="thickThinLargeGap" w:sz="24" w:space="0" w:color="C0C0C0"/>
              <w:end w:val="thickThinLargeGap" w:sz="24" w:space="0" w:color="C0C0C0"/>
            </w:tcBorders>
          </w:tcPr>
          <w:p>
            <w:pPr>
              <w:pStyle w:val="Heading1"/>
              <w:ind w:hanging="0" w:start="0"/>
              <w:rPr/>
            </w:pPr>
            <w:r>
              <w:rPr/>
              <w:t>Corporate Social Responsibility (CSR)</w:t>
            </w:r>
          </w:p>
          <w:p>
            <w:pPr>
              <w:pStyle w:val="Normal"/>
              <w:numPr>
                <w:ilvl w:val="0"/>
                <w:numId w:val="3"/>
              </w:numPr>
              <w:tabs>
                <w:tab w:val="clear" w:pos="720"/>
              </w:tabs>
              <w:ind w:hanging="692" w:start="692" w:end="0"/>
              <w:rPr>
                <w:sz w:val="20"/>
              </w:rPr>
            </w:pPr>
            <w:r>
              <w:rPr>
                <w:sz w:val="20"/>
              </w:rPr>
              <w:t xml:space="preserve">Enron is expanding the existing asset audit program to include human rights, fair employment practices, stakeholder engagement, indigenous peoples rights and security sections. </w:t>
            </w:r>
          </w:p>
          <w:p>
            <w:pPr>
              <w:pStyle w:val="Header"/>
              <w:numPr>
                <w:ilvl w:val="0"/>
                <w:numId w:val="3"/>
              </w:numPr>
              <w:tabs>
                <w:tab w:val="clear" w:pos="4320"/>
                <w:tab w:val="clear" w:pos="8640"/>
                <w:tab w:val="left" w:pos="692" w:leader="none"/>
              </w:tabs>
              <w:ind w:hanging="692" w:start="692" w:end="0"/>
              <w:rPr>
                <w:sz w:val="20"/>
              </w:rPr>
            </w:pPr>
            <w:r>
              <w:rPr>
                <w:sz w:val="20"/>
              </w:rPr>
              <w:t>CSR works with Office of the Chairman, board of directors and senior management (through the corporate responsibility task force) to further develop, implement and monitor strategy and performance.</w:t>
            </w:r>
          </w:p>
          <w:p>
            <w:pPr>
              <w:pStyle w:val="Header"/>
              <w:tabs>
                <w:tab w:val="clear" w:pos="4320"/>
                <w:tab w:val="clear" w:pos="8640"/>
              </w:tabs>
              <w:rPr>
                <w:sz w:val="20"/>
              </w:rPr>
            </w:pPr>
            <w:r>
              <w:rPr>
                <w:sz w:val="20"/>
              </w:rPr>
            </w:r>
          </w:p>
        </w:tc>
      </w:tr>
    </w:tbl>
    <w:p>
      <w:pPr>
        <w:pStyle w:val="Header"/>
        <w:tabs>
          <w:tab w:val="clear" w:pos="4320"/>
          <w:tab w:val="clear" w:pos="8640"/>
        </w:tabs>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 xml:space="preserve"> </w:t>
    </w:r>
    <w:r>
      <w:rPr>
        <w:sz w:val="20"/>
      </w:rPr>
      <w:fldChar w:fldCharType="begin"/>
    </w:r>
    <w:r>
      <w:rPr>
        <w:sz w:val="20"/>
      </w:rPr>
      <w:instrText xml:space="preserve"> TIME \@"H:mm\ AM/PM" </w:instrText>
    </w:r>
    <w:r>
      <w:rPr>
        <w:sz w:val="20"/>
      </w:rPr>
      <w:fldChar w:fldCharType="separate"/>
    </w:r>
    <w:r>
      <w:rPr>
        <w:sz w:val="20"/>
      </w:rPr>
      <w:t>8:36 AM</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32"/>
      </w:rPr>
    </w:pPr>
    <w:r>
      <w:rPr>
        <w:b/>
        <w:bCs/>
        <w:sz w:val="32"/>
      </w:rPr>
      <w:t>Enron Diversity Executive Overview</w:t>
    </w:r>
  </w:p>
  <w:p>
    <w:pPr>
      <w:pStyle w:val="Header"/>
      <w:jc w:val="center"/>
      <w:rPr>
        <w:b/>
        <w:bCs/>
        <w:sz w:val="32"/>
      </w:rPr>
    </w:pPr>
    <w:r>
      <w:rPr>
        <w:b/>
        <w:bCs/>
        <w:sz w:val="32"/>
      </w:rPr>
      <w:t>Current Efforts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Wingdings" w:hAnsi="Wingdings" w:cs="Wingdings" w:hint="default"/>
      </w:rPr>
    </w:lvl>
  </w:abstractNum>
  <w:abstractNum w:abstractNumId="3">
    <w:lvl w:ilvl="0">
      <w:numFmt w:val="bullet"/>
      <w:lvlText w:val=""/>
      <w:lvlJc w:val="start"/>
      <w:pPr>
        <w:tabs>
          <w:tab w:val="num" w:pos="0"/>
        </w:tabs>
        <w:ind w:start="0" w:hanging="0"/>
      </w:pPr>
      <w:rPr>
        <w:rFonts w:ascii="Wingdings" w:hAnsi="Wingdings" w:cs="Wingdings" w:hint="default"/>
      </w:rPr>
    </w:lvl>
  </w:abstractNum>
  <w:abstractNum w:abstractNumId="4">
    <w:lvl w:ilvl="0">
      <w:numFmt w:val="bullet"/>
      <w:lvlText w:val=""/>
      <w:lvlJc w:val="start"/>
      <w:pPr>
        <w:tabs>
          <w:tab w:val="num" w:pos="0"/>
        </w:tabs>
        <w:ind w:start="0" w:hanging="0"/>
      </w:pPr>
      <w:rPr>
        <w:rFonts w:ascii="Wingdings" w:hAnsi="Wingdings" w:cs="Wingdings" w:hint="default"/>
      </w:rPr>
    </w:lvl>
  </w:abstractNum>
  <w:abstractNum w:abstractNumId="5">
    <w:lvl w:ilvl="0">
      <w:numFmt w:val="bullet"/>
      <w:lvlText w:val=""/>
      <w:lvlJc w:val="start"/>
      <w:pPr>
        <w:tabs>
          <w:tab w:val="num" w:pos="0"/>
        </w:tabs>
        <w:ind w:start="0" w:hanging="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2001-10-08T20:50:00Z</dcterms:created>
  <dc:creator>Andrea Yowman</dc:creator>
  <dc:description/>
  <dc:language>en-CA</dc:language>
  <cp:lastModifiedBy>Andrea Yowman</cp:lastModifiedBy>
  <cp:lastPrinted>2001-10-09T14:20:00Z</cp:lastPrinted>
  <dcterms:modified xsi:type="dcterms:W3CDTF">2001-10-09T17:25:00Z</dcterms:modified>
  <cp:revision>24</cp:revision>
  <dc:subject/>
  <dc:title>Human Intellectual Capital</dc:title>
</cp:coreProperties>
</file>