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left" w:pos="-1440" w:leader="none"/>
          <w:tab w:val="left" w:pos="-720" w:leader="none"/>
        </w:tabs>
        <w:suppressAutoHyphens w:val="true"/>
        <w:rPr>
          <w:b/>
          <w:bCs/>
        </w:rPr>
      </w:pPr>
      <w:r>
        <w:rPr>
          <w:b/>
          <w:bCs/>
        </w:rPr>
        <w:t>Paragraph 13.  Elections and Variables</w:t>
      </w:r>
    </w:p>
    <w:p>
      <w:pPr>
        <w:pStyle w:val="Normal"/>
        <w:widowControl/>
        <w:tabs>
          <w:tab w:val="clear" w:pos="720"/>
          <w:tab w:val="left" w:pos="-1440" w:leader="none"/>
          <w:tab w:val="left" w:pos="-720" w:leader="none"/>
        </w:tabs>
        <w:suppressAutoHyphens w:val="true"/>
        <w:rPr/>
      </w:pPr>
      <w:r>
        <w:rPr/>
      </w:r>
    </w:p>
    <w:p>
      <w:pPr>
        <w:pStyle w:val="Normal"/>
        <w:widowControl/>
        <w:rPr/>
      </w:pPr>
      <w:r>
        <w:rPr>
          <w:b/>
          <w:bCs/>
        </w:rPr>
        <w:t>Agreement as to Single Secured Party and Pledgor.</w:t>
      </w:r>
      <w:r>
        <w:rPr/>
        <w:t xml:space="preserve">  Party A and Party B agree that, notwithstanding anything to the contrary in the recital to this Annex, Paragraph 1(b) or Paragraph 2 or the definitions in Paragraph 12, (a) the term "Secured Party" as used in this Annex means only Party A, (b) the term "Pledgor" as used in this Annex means only Party B, (c) only Party B makes the pledge and grant in Paragraph 2, the acknowledgement in the final sentence of Paragraph 8(a) and the representations in Paragraph 9, (d) only Party B will be required to make Transfers of Eligible Credit Support hereunder and (e) Paragraph 5 will not apply.</w:t>
      </w:r>
    </w:p>
    <w:p>
      <w:pPr>
        <w:pStyle w:val="Normal"/>
        <w:widowControl/>
        <w:tabs>
          <w:tab w:val="clear" w:pos="720"/>
          <w:tab w:val="left" w:pos="-1440" w:leader="none"/>
          <w:tab w:val="left" w:pos="-720" w:leader="none"/>
        </w:tabs>
        <w:suppressAutoHyphens w:val="true"/>
        <w:rPr/>
      </w:pPr>
      <w:r>
        <w:rPr/>
      </w:r>
    </w:p>
    <w:p>
      <w:pPr>
        <w:pStyle w:val="Normal"/>
        <w:widowControl/>
        <w:tabs>
          <w:tab w:val="clear" w:pos="720"/>
          <w:tab w:val="left" w:pos="-1440" w:leader="none"/>
          <w:tab w:val="left" w:pos="-720" w:leader="none"/>
          <w:tab w:val="left" w:pos="0" w:leader="none"/>
        </w:tabs>
        <w:suppressAutoHyphens w:val="true"/>
        <w:ind w:hanging="720" w:start="720" w:end="0"/>
        <w:rPr/>
      </w:pPr>
      <w:r>
        <w:rPr/>
        <w:t>(a)</w:t>
      </w:r>
      <w:r>
        <w:rPr>
          <w:b/>
          <w:bCs/>
          <w:i/>
          <w:iCs/>
        </w:rPr>
        <w:tab/>
        <w:t xml:space="preserve">Security Interest for </w:t>
      </w:r>
      <w:r>
        <w:rPr/>
        <w:t>"</w:t>
      </w:r>
      <w:r>
        <w:rPr>
          <w:b/>
          <w:bCs/>
          <w:i/>
          <w:iCs/>
        </w:rPr>
        <w:t>Obligations</w:t>
      </w:r>
      <w:r>
        <w:rPr/>
        <w:t>"</w:t>
      </w:r>
      <w:r>
        <w:rPr>
          <w:b/>
          <w:bCs/>
          <w:i/>
          <w:iCs/>
        </w:rPr>
        <w:t>.</w:t>
      </w:r>
      <w:r>
        <w:rPr/>
        <w:t xml:space="preserve">  In lieu of the definition provided in Paragraph 12, the term "</w:t>
      </w:r>
      <w:r>
        <w:rPr>
          <w:b/>
          <w:bCs/>
          <w:i/>
          <w:iCs/>
        </w:rPr>
        <w:t>Obligations</w:t>
      </w:r>
      <w:r>
        <w:rPr/>
        <w:t>" as used in this Annex means, with respect to Party B, all present and future obligations of Party B under the Confirmation dated as of August 25, 2000, and with respect to Party A, is not applicable.</w:t>
      </w:r>
    </w:p>
    <w:p>
      <w:pPr>
        <w:pStyle w:val="Normal"/>
        <w:widowControl/>
        <w:tabs>
          <w:tab w:val="clear" w:pos="720"/>
          <w:tab w:val="left" w:pos="-1440" w:leader="none"/>
          <w:tab w:val="left" w:pos="-720" w:leader="none"/>
        </w:tabs>
        <w:suppressAutoHyphens w:val="true"/>
        <w:rPr/>
      </w:pPr>
      <w:r>
        <w:rPr/>
      </w:r>
    </w:p>
    <w:p>
      <w:pPr>
        <w:pStyle w:val="Normal"/>
        <w:widowControl/>
        <w:tabs>
          <w:tab w:val="clear" w:pos="720"/>
          <w:tab w:val="left" w:pos="-1440" w:leader="none"/>
          <w:tab w:val="left" w:pos="-720" w:leader="none"/>
          <w:tab w:val="left" w:pos="0" w:leader="none"/>
        </w:tabs>
        <w:suppressAutoHyphens w:val="true"/>
        <w:ind w:hanging="720" w:start="720" w:end="0"/>
        <w:rPr/>
      </w:pPr>
      <w:r>
        <w:rPr/>
        <w:t>(b)</w:t>
      </w:r>
      <w:r>
        <w:rPr>
          <w:b/>
          <w:bCs/>
          <w:i/>
          <w:iCs/>
        </w:rPr>
        <w:tab/>
        <w:t>Credit Support Obligations.</w:t>
      </w:r>
    </w:p>
    <w:p>
      <w:pPr>
        <w:pStyle w:val="Normal"/>
        <w:widowControl/>
        <w:tabs>
          <w:tab w:val="clear" w:pos="720"/>
          <w:tab w:val="left" w:pos="-1440" w:leader="none"/>
          <w:tab w:val="left" w:pos="-720" w:leader="none"/>
        </w:tabs>
        <w:suppressAutoHyphens w:val="true"/>
        <w:rPr/>
      </w:pPr>
      <w:r>
        <w:rPr/>
      </w:r>
    </w:p>
    <w:p>
      <w:pPr>
        <w:pStyle w:val="Normal"/>
        <w:widowControl/>
        <w:tabs>
          <w:tab w:val="clear" w:pos="720"/>
          <w:tab w:val="left" w:pos="-1440" w:leader="none"/>
          <w:tab w:val="left" w:pos="-720" w:leader="none"/>
          <w:tab w:val="left" w:pos="0" w:leader="none"/>
        </w:tabs>
        <w:suppressAutoHyphens w:val="true"/>
        <w:ind w:hanging="720" w:start="720" w:end="0"/>
        <w:rPr/>
      </w:pPr>
      <w:r>
        <w:rPr/>
        <w:tab/>
        <w:t xml:space="preserve">(i)  </w:t>
      </w:r>
      <w:r>
        <w:rPr>
          <w:b/>
          <w:bCs/>
          <w:i/>
          <w:iCs/>
        </w:rPr>
        <w:t>Delivery Amount, Return Amount and Credit Support Amount.</w:t>
      </w:r>
    </w:p>
    <w:p>
      <w:pPr>
        <w:pStyle w:val="Normal"/>
        <w:widowControl/>
        <w:tabs>
          <w:tab w:val="clear" w:pos="720"/>
          <w:tab w:val="left" w:pos="-1440" w:leader="none"/>
          <w:tab w:val="left" w:pos="-720" w:leader="none"/>
        </w:tabs>
        <w:suppressAutoHyphens w:val="true"/>
        <w:rPr/>
      </w:pPr>
      <w:r>
        <w:rPr/>
      </w:r>
    </w:p>
    <w:p>
      <w:pPr>
        <w:pStyle w:val="Normal"/>
        <w:widowControl/>
        <w:tabs>
          <w:tab w:val="left" w:pos="-1440" w:leader="none"/>
          <w:tab w:val="left" w:pos="-720" w:leader="none"/>
          <w:tab w:val="left" w:pos="0" w:leader="none"/>
          <w:tab w:val="left" w:pos="720" w:leader="none"/>
        </w:tabs>
        <w:suppressAutoHyphens w:val="true"/>
        <w:ind w:hanging="1440" w:start="1440" w:end="0"/>
        <w:rPr/>
      </w:pPr>
      <w:r>
        <w:rPr/>
        <w:tab/>
        <w:tab/>
        <w:t>(A)</w:t>
        <w:tab/>
        <w:t>"</w:t>
      </w:r>
      <w:r>
        <w:rPr>
          <w:b/>
          <w:bCs/>
          <w:i/>
          <w:iCs/>
        </w:rPr>
        <w:t>Delivery Amount</w:t>
      </w:r>
      <w:r>
        <w:rPr/>
        <w:t>" has the meaning specified in Paragraph 3(a).</w:t>
      </w:r>
    </w:p>
    <w:p>
      <w:pPr>
        <w:pStyle w:val="Normal"/>
        <w:widowControl/>
        <w:tabs>
          <w:tab w:val="clear" w:pos="720"/>
          <w:tab w:val="left" w:pos="-1440" w:leader="none"/>
          <w:tab w:val="left" w:pos="-720" w:leader="none"/>
        </w:tabs>
        <w:suppressAutoHyphens w:val="true"/>
        <w:rPr/>
      </w:pPr>
      <w:r>
        <w:rPr/>
      </w:r>
    </w:p>
    <w:p>
      <w:pPr>
        <w:pStyle w:val="Normal"/>
        <w:widowControl/>
        <w:tabs>
          <w:tab w:val="left" w:pos="-1440" w:leader="none"/>
          <w:tab w:val="left" w:pos="-720" w:leader="none"/>
          <w:tab w:val="left" w:pos="0" w:leader="none"/>
          <w:tab w:val="left" w:pos="720" w:leader="none"/>
        </w:tabs>
        <w:suppressAutoHyphens w:val="true"/>
        <w:ind w:hanging="1440" w:start="1440" w:end="0"/>
        <w:rPr/>
      </w:pPr>
      <w:r>
        <w:rPr/>
        <w:tab/>
        <w:tab/>
        <w:t xml:space="preserve">(B)  </w:t>
        <w:tab/>
        <w:t>"</w:t>
      </w:r>
      <w:r>
        <w:rPr>
          <w:b/>
          <w:bCs/>
          <w:i/>
          <w:iCs/>
        </w:rPr>
        <w:t>Return Amount</w:t>
      </w:r>
      <w:r>
        <w:rPr/>
        <w:t>" has the meaning specified in Paragraph 3(b).</w:t>
      </w:r>
    </w:p>
    <w:p>
      <w:pPr>
        <w:pStyle w:val="Normal"/>
        <w:widowControl/>
        <w:tabs>
          <w:tab w:val="clear" w:pos="720"/>
          <w:tab w:val="left" w:pos="-1440" w:leader="none"/>
          <w:tab w:val="left" w:pos="-720" w:leader="none"/>
        </w:tabs>
        <w:suppressAutoHyphens w:val="true"/>
        <w:rPr/>
      </w:pPr>
      <w:r>
        <w:rPr/>
      </w:r>
    </w:p>
    <w:p>
      <w:pPr>
        <w:pStyle w:val="Normal"/>
        <w:widowControl/>
        <w:ind w:hanging="720" w:start="2160" w:end="0"/>
        <w:rPr/>
      </w:pPr>
      <w:r>
        <w:rPr/>
        <w:t xml:space="preserve">(C)  </w:t>
        <w:tab/>
      </w:r>
      <w:r>
        <w:rPr>
          <w:b/>
          <w:bCs/>
          <w:i/>
          <w:iCs/>
        </w:rPr>
        <w:t>Credit Support Amount</w:t>
      </w:r>
      <w:r>
        <w:rPr/>
        <w:t xml:space="preserve">" has the meaning specified in Paragraph 3; </w:t>
      </w:r>
      <w:r>
        <w:rPr>
          <w:i/>
          <w:iCs/>
        </w:rPr>
        <w:t>provided</w:t>
      </w:r>
      <w:r>
        <w:rPr/>
        <w:t xml:space="preserve"> that in calculating the "Credit Support Amount" for any Valuation Date with respect to Party A as the Secured Party, the Secured Party's Exposure shall be deemed to be equal to the Net Termination Amount as of that Valuation Date (determined as if Party B were the Defaulting Party and that Valuation Date were the Windup Date).</w:t>
      </w:r>
    </w:p>
    <w:p>
      <w:pPr>
        <w:pStyle w:val="Normal"/>
        <w:widowControl/>
        <w:tabs>
          <w:tab w:val="clear" w:pos="720"/>
          <w:tab w:val="left" w:pos="-1440" w:leader="none"/>
          <w:tab w:val="left" w:pos="-720" w:leader="none"/>
          <w:tab w:val="left" w:pos="0" w:leader="none"/>
        </w:tabs>
        <w:suppressAutoHyphens w:val="true"/>
        <w:ind w:hanging="720" w:start="720" w:end="0"/>
        <w:rPr/>
      </w:pPr>
      <w:r>
        <w:rPr/>
        <w:tab/>
      </w:r>
    </w:p>
    <w:p>
      <w:pPr>
        <w:pStyle w:val="Normal"/>
        <w:widowControl/>
        <w:numPr>
          <w:ilvl w:val="0"/>
          <w:numId w:val="2"/>
        </w:numPr>
        <w:tabs>
          <w:tab w:val="clear" w:pos="720"/>
          <w:tab w:val="left" w:pos="0" w:leader="none"/>
        </w:tabs>
        <w:suppressAutoHyphens w:val="true"/>
        <w:ind w:hanging="1440" w:start="2880" w:end="0"/>
        <w:rPr/>
      </w:pPr>
      <w:r>
        <w:rPr/>
        <w:t>"</w:t>
      </w:r>
      <w:r>
        <w:rPr>
          <w:b/>
          <w:bCs/>
          <w:i/>
          <w:iCs/>
        </w:rPr>
        <w:t>Eligible Collateral</w:t>
      </w:r>
      <w:r>
        <w:rPr/>
        <w:t>"</w:t>
      </w:r>
    </w:p>
    <w:p>
      <w:pPr>
        <w:pStyle w:val="Normal"/>
        <w:widowControl/>
        <w:tabs>
          <w:tab w:val="clear" w:pos="720"/>
          <w:tab w:val="left" w:pos="-1440" w:leader="none"/>
          <w:tab w:val="left" w:pos="-720" w:leader="none"/>
          <w:tab w:val="left" w:pos="0" w:leader="none"/>
        </w:tabs>
        <w:suppressAutoHyphens w:val="true"/>
        <w:rPr/>
      </w:pPr>
      <w:r>
        <w:rPr/>
      </w:r>
    </w:p>
    <w:p>
      <w:pPr>
        <w:pStyle w:val="Normal"/>
        <w:keepNext w:val="true"/>
        <w:widowControl/>
        <w:tabs>
          <w:tab w:val="left" w:pos="-720" w:leader="none"/>
          <w:tab w:val="left" w:pos="0" w:leader="none"/>
          <w:tab w:val="left" w:pos="720" w:leader="none"/>
        </w:tabs>
        <w:suppressAutoHyphens w:val="true"/>
        <w:ind w:hanging="1440" w:start="1440" w:end="0"/>
        <w:jc w:val="both"/>
        <w:rPr/>
      </w:pPr>
      <w:r>
        <w:rPr/>
        <w:tab/>
        <w:t>The following items will qualify as "</w:t>
      </w:r>
      <w:r>
        <w:rPr>
          <w:b/>
          <w:bCs/>
          <w:i/>
          <w:iCs/>
        </w:rPr>
        <w:t>Eligible Collateral</w:t>
      </w:r>
      <w:r>
        <w:rPr/>
        <w:t>" for the party specified:</w:t>
      </w:r>
    </w:p>
    <w:p>
      <w:pPr>
        <w:pStyle w:val="Normal"/>
        <w:keepNext w:val="true"/>
        <w:widowControl/>
        <w:tabs>
          <w:tab w:val="clear" w:pos="720"/>
          <w:tab w:val="left" w:pos="-720" w:leader="none"/>
        </w:tabs>
        <w:suppressAutoHyphens w:val="true"/>
        <w:ind w:start="720" w:end="0"/>
        <w:jc w:val="both"/>
        <w:rPr/>
      </w:pPr>
      <w:r>
        <w:rPr/>
      </w:r>
    </w:p>
    <w:tbl>
      <w:tblPr>
        <w:tblW w:w="8550" w:type="dxa"/>
        <w:jc w:val="start"/>
        <w:tblInd w:w="1560" w:type="dxa"/>
        <w:tblLayout w:type="fixed"/>
        <w:tblCellMar>
          <w:top w:w="0" w:type="dxa"/>
          <w:start w:w="120" w:type="dxa"/>
          <w:bottom w:w="0" w:type="dxa"/>
          <w:end w:w="120" w:type="dxa"/>
        </w:tblCellMar>
      </w:tblPr>
      <w:tblGrid>
        <w:gridCol w:w="720"/>
        <w:gridCol w:w="4896"/>
        <w:gridCol w:w="864"/>
        <w:gridCol w:w="864"/>
        <w:gridCol w:w="1206"/>
      </w:tblGrid>
      <w:tr>
        <w:trPr>
          <w:tblHeader w:val="true"/>
        </w:trPr>
        <w:tc>
          <w:tcPr>
            <w:tcW w:w="720" w:type="dxa"/>
            <w:tcBorders>
              <w:top w:val="single" w:sz="6" w:space="0" w:color="000000"/>
              <w:start w:val="single" w:sz="6" w:space="0" w:color="000000"/>
            </w:tcBorders>
          </w:tcPr>
          <w:p>
            <w:pPr>
              <w:pStyle w:val="Normal"/>
              <w:keepNext w:val="true"/>
              <w:widowControl/>
              <w:tabs>
                <w:tab w:val="clear" w:pos="720"/>
                <w:tab w:val="left" w:pos="-720" w:leader="none"/>
              </w:tabs>
              <w:suppressAutoHyphens w:val="true"/>
              <w:snapToGrid w:val="false"/>
              <w:jc w:val="both"/>
              <w:rPr/>
            </w:pPr>
            <w:r>
              <w:rPr/>
            </w:r>
          </w:p>
        </w:tc>
        <w:tc>
          <w:tcPr>
            <w:tcW w:w="4896" w:type="dxa"/>
            <w:tcBorders>
              <w:top w:val="single" w:sz="6" w:space="0" w:color="000000"/>
            </w:tcBorders>
          </w:tcPr>
          <w:p>
            <w:pPr>
              <w:pStyle w:val="Normal"/>
              <w:keepNext w:val="true"/>
              <w:widowControl/>
              <w:tabs>
                <w:tab w:val="clear" w:pos="720"/>
                <w:tab w:val="left" w:pos="-720" w:leader="none"/>
              </w:tabs>
              <w:suppressAutoHyphens w:val="true"/>
              <w:snapToGrid w:val="false"/>
              <w:jc w:val="both"/>
              <w:rPr/>
            </w:pPr>
            <w:r>
              <w:rPr/>
            </w:r>
          </w:p>
        </w:tc>
        <w:tc>
          <w:tcPr>
            <w:tcW w:w="864" w:type="dxa"/>
            <w:tcBorders>
              <w:top w:val="single" w:sz="6" w:space="0" w:color="000000"/>
            </w:tcBorders>
          </w:tcPr>
          <w:p>
            <w:pPr>
              <w:pStyle w:val="Normal"/>
              <w:keepNext w:val="true"/>
              <w:widowControl/>
              <w:tabs>
                <w:tab w:val="clear" w:pos="720"/>
                <w:tab w:val="left" w:pos="-720" w:leader="none"/>
              </w:tabs>
              <w:suppressAutoHyphens w:val="true"/>
              <w:snapToGrid w:val="false"/>
              <w:jc w:val="both"/>
              <w:rPr/>
            </w:pPr>
            <w:r>
              <w:rPr/>
            </w:r>
          </w:p>
        </w:tc>
        <w:tc>
          <w:tcPr>
            <w:tcW w:w="864" w:type="dxa"/>
            <w:tcBorders>
              <w:top w:val="single" w:sz="6" w:space="0" w:color="000000"/>
            </w:tcBorders>
          </w:tcPr>
          <w:p>
            <w:pPr>
              <w:pStyle w:val="Normal"/>
              <w:keepNext w:val="true"/>
              <w:widowControl/>
              <w:tabs>
                <w:tab w:val="clear" w:pos="720"/>
                <w:tab w:val="left" w:pos="-720" w:leader="none"/>
              </w:tabs>
              <w:suppressAutoHyphens w:val="true"/>
              <w:jc w:val="both"/>
              <w:rPr>
                <w:b/>
                <w:bCs/>
              </w:rPr>
            </w:pPr>
            <w:r>
              <w:rPr>
                <w:b/>
                <w:bCs/>
              </w:rPr>
              <w:t>Party B</w:t>
            </w:r>
          </w:p>
        </w:tc>
        <w:tc>
          <w:tcPr>
            <w:tcW w:w="1206" w:type="dxa"/>
            <w:tcBorders>
              <w:top w:val="single" w:sz="6" w:space="0" w:color="000000"/>
              <w:end w:val="single" w:sz="6" w:space="0" w:color="000000"/>
            </w:tcBorders>
          </w:tcPr>
          <w:p>
            <w:pPr>
              <w:pStyle w:val="Normal"/>
              <w:keepNext w:val="true"/>
              <w:widowControl/>
              <w:tabs>
                <w:tab w:val="clear" w:pos="720"/>
                <w:tab w:val="left" w:pos="-720" w:leader="none"/>
              </w:tabs>
              <w:suppressAutoHyphens w:val="true"/>
              <w:jc w:val="both"/>
              <w:rPr>
                <w:b/>
                <w:bCs/>
              </w:rPr>
            </w:pPr>
            <w:r>
              <w:rPr>
                <w:b/>
                <w:bCs/>
              </w:rPr>
              <w:t>Valuation</w:t>
            </w:r>
          </w:p>
          <w:p>
            <w:pPr>
              <w:pStyle w:val="Normal"/>
              <w:keepNext w:val="true"/>
              <w:widowControl/>
              <w:tabs>
                <w:tab w:val="clear" w:pos="720"/>
                <w:tab w:val="left" w:pos="-720" w:leader="none"/>
              </w:tabs>
              <w:suppressAutoHyphens w:val="true"/>
              <w:jc w:val="both"/>
              <w:rPr>
                <w:b/>
                <w:bCs/>
              </w:rPr>
            </w:pPr>
            <w:r>
              <w:rPr>
                <w:b/>
                <w:bCs/>
              </w:rPr>
              <w:t>Percentage</w:t>
            </w:r>
          </w:p>
        </w:tc>
      </w:tr>
      <w:tr>
        <w:trPr/>
        <w:tc>
          <w:tcPr>
            <w:tcW w:w="720" w:type="dxa"/>
            <w:tcBorders>
              <w:start w:val="single" w:sz="6" w:space="0" w:color="000000"/>
              <w:bottom w:val="single" w:sz="6" w:space="0" w:color="000000"/>
            </w:tcBorders>
          </w:tcPr>
          <w:p>
            <w:pPr>
              <w:pStyle w:val="Normal"/>
              <w:keepNext w:val="true"/>
              <w:widowControl/>
              <w:tabs>
                <w:tab w:val="clear" w:pos="720"/>
                <w:tab w:val="left" w:pos="-720" w:leader="none"/>
              </w:tabs>
              <w:suppressAutoHyphens w:val="true"/>
              <w:jc w:val="both"/>
              <w:rPr/>
            </w:pPr>
            <w:r>
              <w:rPr/>
              <w:t>(A)</w:t>
            </w:r>
          </w:p>
        </w:tc>
        <w:tc>
          <w:tcPr>
            <w:tcW w:w="4896" w:type="dxa"/>
            <w:tcBorders>
              <w:bottom w:val="single" w:sz="6" w:space="0" w:color="000000"/>
            </w:tcBorders>
          </w:tcPr>
          <w:p>
            <w:pPr>
              <w:pStyle w:val="Normal"/>
              <w:keepNext w:val="true"/>
              <w:widowControl/>
              <w:tabs>
                <w:tab w:val="clear" w:pos="720"/>
                <w:tab w:val="left" w:pos="-720" w:leader="none"/>
              </w:tabs>
              <w:suppressAutoHyphens w:val="true"/>
              <w:jc w:val="both"/>
              <w:rPr/>
            </w:pPr>
            <w:r>
              <w:rPr/>
              <w:t>Cash</w:t>
              <w:tab/>
            </w:r>
          </w:p>
        </w:tc>
        <w:tc>
          <w:tcPr>
            <w:tcW w:w="864" w:type="dxa"/>
            <w:tcBorders>
              <w:bottom w:val="single" w:sz="6" w:space="0" w:color="000000"/>
            </w:tcBorders>
          </w:tcPr>
          <w:p>
            <w:pPr>
              <w:pStyle w:val="Normal"/>
              <w:keepNext w:val="true"/>
              <w:widowControl/>
              <w:tabs>
                <w:tab w:val="clear" w:pos="720"/>
                <w:tab w:val="left" w:pos="-720" w:leader="none"/>
              </w:tabs>
              <w:suppressAutoHyphens w:val="true"/>
              <w:snapToGrid w:val="false"/>
              <w:jc w:val="both"/>
              <w:rPr/>
            </w:pPr>
            <w:r>
              <w:rPr/>
            </w:r>
          </w:p>
        </w:tc>
        <w:tc>
          <w:tcPr>
            <w:tcW w:w="864" w:type="dxa"/>
            <w:tcBorders>
              <w:bottom w:val="single" w:sz="6" w:space="0" w:color="000000"/>
            </w:tcBorders>
          </w:tcPr>
          <w:p>
            <w:pPr>
              <w:pStyle w:val="Normal"/>
              <w:keepNext w:val="true"/>
              <w:widowControl/>
              <w:tabs>
                <w:tab w:val="clear" w:pos="720"/>
                <w:tab w:val="left" w:pos="-720" w:leader="none"/>
              </w:tabs>
              <w:suppressAutoHyphens w:val="true"/>
              <w:jc w:val="both"/>
              <w:rPr/>
            </w:pPr>
            <w:r>
              <w:rPr/>
              <w:t>X</w:t>
            </w:r>
          </w:p>
        </w:tc>
        <w:tc>
          <w:tcPr>
            <w:tcW w:w="1206" w:type="dxa"/>
            <w:tcBorders>
              <w:bottom w:val="single" w:sz="6" w:space="0" w:color="000000"/>
              <w:end w:val="single" w:sz="6" w:space="0" w:color="000000"/>
            </w:tcBorders>
          </w:tcPr>
          <w:p>
            <w:pPr>
              <w:pStyle w:val="Normal"/>
              <w:keepNext w:val="true"/>
              <w:widowControl/>
              <w:tabs>
                <w:tab w:val="clear" w:pos="720"/>
                <w:tab w:val="left" w:pos="-720" w:leader="none"/>
              </w:tabs>
              <w:suppressAutoHyphens w:val="true"/>
              <w:jc w:val="both"/>
              <w:rPr/>
            </w:pPr>
            <w:r>
              <w:rPr/>
              <w:t>100%</w:t>
            </w:r>
          </w:p>
        </w:tc>
      </w:tr>
    </w:tbl>
    <w:p>
      <w:pPr>
        <w:pStyle w:val="Normal"/>
        <w:widowControl/>
        <w:tabs>
          <w:tab w:val="left" w:pos="-720" w:leader="none"/>
          <w:tab w:val="left" w:pos="0" w:leader="none"/>
          <w:tab w:val="left" w:pos="720" w:leader="none"/>
        </w:tabs>
        <w:suppressAutoHyphens w:val="true"/>
        <w:ind w:hanging="1440" w:start="1440" w:end="0"/>
        <w:jc w:val="both"/>
        <w:rPr>
          <w:strike/>
        </w:rPr>
      </w:pPr>
      <w:r>
        <w:rPr>
          <w:strike/>
        </w:rPr>
        <w:t xml:space="preserve">(B) Negotiable debt obligations issued by the U.S. Treasury Department and Mortgage-Backed Securities each having an original maturity at issuance of less than one year  X 100% (C) Negotiable debt obligations issued by the U.S. Treasury Department and Mortgage-Backed Securities each having an original maturity at issuance of at least one year but less than 5 years  X 98% (D) Negotiable debt obligations issued by the U.S. Treasury Department and Mortgage-Backed Securities each having an original maturity at issuance of at least 5 years but not exceeding 10 years  X 97% (E) Negotiable debt obligations issued by the U.S. Treasury Department and Mortgage-Backed Securities each having an original maturity at issuance of more than 10 years  X 95%      </w:t>
      </w:r>
    </w:p>
    <w:p>
      <w:pPr>
        <w:pStyle w:val="Normal"/>
        <w:widowControl/>
        <w:tabs>
          <w:tab w:val="left" w:pos="-720" w:leader="none"/>
          <w:tab w:val="left" w:pos="0" w:leader="none"/>
          <w:tab w:val="left" w:pos="720" w:leader="none"/>
        </w:tabs>
        <w:suppressAutoHyphens w:val="true"/>
        <w:ind w:hanging="1440" w:start="1440" w:end="0"/>
        <w:jc w:val="both"/>
        <w:rPr>
          <w:strike/>
        </w:rPr>
      </w:pPr>
      <w:r>
        <w:rPr>
          <w:strike/>
        </w:rPr>
        <w:t>"Mortgage-Backed Securities" means FHLMC Certificates, FNMA Certificates or GNMA Certificates, but excluding zero-coupon securities.</w:t>
      </w:r>
    </w:p>
    <w:p>
      <w:pPr>
        <w:pStyle w:val="Normal"/>
        <w:widowControl/>
        <w:tabs>
          <w:tab w:val="left" w:pos="-720" w:leader="none"/>
          <w:tab w:val="left" w:pos="0" w:leader="none"/>
          <w:tab w:val="left" w:pos="720" w:leader="none"/>
        </w:tabs>
        <w:suppressAutoHyphens w:val="true"/>
        <w:ind w:hanging="1440" w:start="1440" w:end="0"/>
        <w:jc w:val="both"/>
        <w:rPr>
          <w:strike/>
        </w:rPr>
      </w:pPr>
      <w:r>
        <w:rPr>
          <w:strike/>
        </w:rPr>
      </w:r>
    </w:p>
    <w:p>
      <w:pPr>
        <w:pStyle w:val="Normal"/>
        <w:widowControl/>
        <w:tabs>
          <w:tab w:val="left" w:pos="-720" w:leader="none"/>
          <w:tab w:val="left" w:pos="0" w:leader="none"/>
          <w:tab w:val="left" w:pos="720" w:leader="none"/>
        </w:tabs>
        <w:suppressAutoHyphens w:val="true"/>
        <w:ind w:hanging="1440" w:start="1440" w:end="0"/>
        <w:jc w:val="both"/>
        <w:rPr>
          <w:strike/>
        </w:rPr>
      </w:pPr>
      <w:r>
        <w:rPr>
          <w:strike/>
        </w:rPr>
        <w:t>"FHLMC Certificates" means single-class mortgage participation certificates in book-entry form backed by single-family residential mortgage loans, the full and timely payment of interest at the applicable certificate rate and the ultimate collection of principal of which are guaranteed by the Federal Home Loan Mortgage Corporation (excluding Real Estate Mortgage Investment Conduit ("REMIC") or other multi-class pass-through certificates, pass-through certificates backed by adjustable rate mortgages and securities paying interest or principal only).</w:t>
      </w:r>
    </w:p>
    <w:p>
      <w:pPr>
        <w:pStyle w:val="Normal"/>
        <w:widowControl/>
        <w:tabs>
          <w:tab w:val="left" w:pos="-720" w:leader="none"/>
          <w:tab w:val="left" w:pos="0" w:leader="none"/>
          <w:tab w:val="left" w:pos="720" w:leader="none"/>
        </w:tabs>
        <w:suppressAutoHyphens w:val="true"/>
        <w:ind w:hanging="1440" w:start="1440" w:end="0"/>
        <w:jc w:val="both"/>
        <w:rPr>
          <w:strike/>
        </w:rPr>
      </w:pPr>
      <w:r>
        <w:rPr>
          <w:strike/>
        </w:rPr>
      </w:r>
    </w:p>
    <w:p>
      <w:pPr>
        <w:pStyle w:val="Normal"/>
        <w:widowControl/>
        <w:tabs>
          <w:tab w:val="left" w:pos="-720" w:leader="none"/>
          <w:tab w:val="left" w:pos="0" w:leader="none"/>
          <w:tab w:val="left" w:pos="720" w:leader="none"/>
        </w:tabs>
        <w:suppressAutoHyphens w:val="true"/>
        <w:ind w:hanging="1440" w:start="1440" w:end="0"/>
        <w:jc w:val="both"/>
        <w:rPr>
          <w:strike/>
        </w:rPr>
      </w:pPr>
      <w:r>
        <w:rPr>
          <w:strike/>
        </w:rPr>
        <w:t>"FNMA Certificates" means single-class mortgage pass-through certificates in book-entry form backed by single-family residential mortgage loans, the full and timely payment of interest at the applicable certificate rate and the ultimate collection of principal of which are guaranteed by the Federal National Mortgage Association (excluding REMIC or other multi-class pass-through certificates, pass through certificates backed by adjustable rate mortgages and securities paying interest or principal only).</w:t>
      </w:r>
    </w:p>
    <w:p>
      <w:pPr>
        <w:pStyle w:val="Normal"/>
        <w:widowControl/>
        <w:tabs>
          <w:tab w:val="left" w:pos="-720" w:leader="none"/>
          <w:tab w:val="left" w:pos="0" w:leader="none"/>
          <w:tab w:val="left" w:pos="720" w:leader="none"/>
        </w:tabs>
        <w:suppressAutoHyphens w:val="true"/>
        <w:ind w:hanging="1440" w:start="1440" w:end="0"/>
        <w:jc w:val="both"/>
        <w:rPr>
          <w:strike/>
        </w:rPr>
      </w:pPr>
      <w:r>
        <w:rPr>
          <w:strike/>
        </w:rPr>
      </w:r>
    </w:p>
    <w:p>
      <w:pPr>
        <w:pStyle w:val="Normal"/>
        <w:widowControl/>
        <w:tabs>
          <w:tab w:val="left" w:pos="-720" w:leader="none"/>
          <w:tab w:val="left" w:pos="0" w:leader="none"/>
          <w:tab w:val="left" w:pos="720" w:leader="none"/>
        </w:tabs>
        <w:suppressAutoHyphens w:val="true"/>
        <w:ind w:hanging="1440" w:start="1440" w:end="0"/>
        <w:jc w:val="both"/>
        <w:rPr>
          <w:strike/>
        </w:rPr>
      </w:pPr>
      <w:r>
        <w:rPr>
          <w:strike/>
        </w:rPr>
        <w:t>"GNMA Certificates" means single-class fully modified pass-through certificates in book-entry form backed by single-family residential mortgage loans, the full and timely payment of principal and interest of which is guaranteed by the Government National Mortgage Association (excluding REMIC or other multi-class pass-through certificates, pass-through certificates backed by adjustable rate mortgages and securities paying interest or principal only).</w:t>
      </w:r>
    </w:p>
    <w:p>
      <w:pPr>
        <w:pStyle w:val="Normal"/>
        <w:widowControl/>
        <w:tabs>
          <w:tab w:val="left" w:pos="-720" w:leader="none"/>
          <w:tab w:val="left" w:pos="0" w:leader="none"/>
          <w:tab w:val="left" w:pos="720" w:leader="none"/>
        </w:tabs>
        <w:suppressAutoHyphens w:val="true"/>
        <w:ind w:hanging="1440" w:start="1440" w:end="0"/>
        <w:jc w:val="both"/>
        <w:rPr>
          <w:strike/>
        </w:rPr>
      </w:pPr>
      <w:r>
        <w:rPr>
          <w:strike/>
        </w:rPr>
      </w:r>
    </w:p>
    <w:p>
      <w:pPr>
        <w:pStyle w:val="Normal"/>
        <w:widowControl/>
        <w:tabs>
          <w:tab w:val="left" w:pos="-720" w:leader="none"/>
          <w:tab w:val="left" w:pos="0" w:leader="none"/>
          <w:tab w:val="left" w:pos="720" w:leader="none"/>
        </w:tabs>
        <w:suppressAutoHyphens w:val="true"/>
        <w:ind w:hanging="1440" w:start="1440" w:end="0"/>
        <w:jc w:val="both"/>
        <w:rPr>
          <w:strike/>
        </w:rPr>
      </w:pPr>
      <w:r>
        <w:rPr>
          <w:strike/>
        </w:rPr>
        <w:t>Certificated securities shall not constitute "Eligible Collateral".</w:t>
      </w:r>
    </w:p>
    <w:p>
      <w:pPr>
        <w:pStyle w:val="Normal"/>
        <w:widowControl/>
        <w:tabs>
          <w:tab w:val="left" w:pos="-720" w:leader="none"/>
          <w:tab w:val="left" w:pos="0" w:leader="none"/>
          <w:tab w:val="left" w:pos="720" w:leader="none"/>
        </w:tabs>
        <w:suppressAutoHyphens w:val="true"/>
        <w:ind w:hanging="720" w:start="720" w:end="0"/>
        <w:jc w:val="both"/>
        <w:rPr/>
      </w:pPr>
      <w:r>
        <w:rPr/>
        <w:tab/>
        <w:t xml:space="preserve">(iii)  </w:t>
      </w:r>
      <w:r>
        <w:rPr>
          <w:b/>
          <w:bCs/>
          <w:i/>
          <w:iCs/>
        </w:rPr>
        <w:t>Other Eligible Support</w:t>
      </w:r>
      <w:r>
        <w:rPr>
          <w:b/>
          <w:bCs/>
        </w:rPr>
        <w:t>.</w:t>
      </w:r>
      <w:r>
        <w:rPr/>
        <w:t xml:space="preserve">  </w:t>
      </w:r>
      <w:r>
        <w:rPr>
          <w:strike/>
        </w:rPr>
        <w:t>In addition to</w:t>
      </w:r>
      <w:r>
        <w:rPr/>
        <w:t xml:space="preserve"> </w:t>
      </w:r>
      <w:r>
        <w:rPr>
          <w:b/>
          <w:bCs/>
          <w:u w:val="double"/>
        </w:rPr>
        <w:t>There shall be no "</w:t>
      </w:r>
      <w:r>
        <w:rPr>
          <w:b/>
          <w:bCs/>
          <w:i/>
          <w:iCs/>
          <w:u w:val="double"/>
        </w:rPr>
        <w:t>Other</w:t>
      </w:r>
      <w:r>
        <w:rPr>
          <w:b/>
          <w:bCs/>
          <w:i/>
          <w:iCs/>
        </w:rPr>
        <w:t xml:space="preserve"> Eligible </w:t>
      </w:r>
      <w:r>
        <w:rPr>
          <w:b/>
          <w:bCs/>
          <w:i/>
          <w:iCs/>
          <w:strike/>
        </w:rPr>
        <w:t>Collateral, Party B shall be entitled to provide a letter of credit (in a form and substance reasonably acceptable to Party A) issued by Citibank, N.A., an affiliate thereof or any other financial institution reasonably acceptable to Party A as credit support for its Obligations</w:t>
      </w:r>
      <w:r>
        <w:rPr>
          <w:b/>
          <w:bCs/>
          <w:i/>
          <w:iCs/>
        </w:rPr>
        <w:t xml:space="preserve"> </w:t>
      </w:r>
      <w:r>
        <w:rPr>
          <w:b/>
          <w:bCs/>
          <w:i/>
          <w:iCs/>
          <w:u w:val="double"/>
        </w:rPr>
        <w:t>Support</w:t>
      </w:r>
      <w:r>
        <w:rPr>
          <w:b/>
          <w:bCs/>
          <w:u w:val="double"/>
        </w:rPr>
        <w:t>" for either party for purposes of this Credit Support Annex</w:t>
      </w:r>
      <w:r>
        <w:rPr/>
        <w:t>.</w:t>
        <w:tab/>
      </w:r>
    </w:p>
    <w:p>
      <w:pPr>
        <w:pStyle w:val="Normal"/>
        <w:widowControl/>
        <w:tabs>
          <w:tab w:val="left" w:pos="-720" w:leader="none"/>
          <w:tab w:val="left" w:pos="0" w:leader="none"/>
          <w:tab w:val="left" w:pos="720" w:leader="none"/>
        </w:tabs>
        <w:suppressAutoHyphens w:val="true"/>
        <w:ind w:hanging="720" w:start="720" w:end="0"/>
        <w:jc w:val="both"/>
        <w:rPr/>
      </w:pPr>
      <w:r>
        <w:rPr/>
      </w:r>
    </w:p>
    <w:p>
      <w:pPr>
        <w:pStyle w:val="Normal"/>
        <w:widowControl/>
        <w:tabs>
          <w:tab w:val="left" w:pos="-720" w:leader="none"/>
          <w:tab w:val="left" w:pos="0" w:leader="none"/>
          <w:tab w:val="left" w:pos="720" w:leader="none"/>
        </w:tabs>
        <w:suppressAutoHyphens w:val="true"/>
        <w:ind w:hanging="720" w:start="720" w:end="0"/>
        <w:jc w:val="both"/>
        <w:rPr/>
      </w:pPr>
      <w:r>
        <w:rPr/>
        <w:tab/>
        <w:t xml:space="preserve">(iv)  </w:t>
      </w:r>
      <w:r>
        <w:rPr>
          <w:b/>
          <w:bCs/>
          <w:i/>
          <w:iCs/>
        </w:rPr>
        <w:t>Thresholds.</w:t>
      </w:r>
    </w:p>
    <w:p>
      <w:pPr>
        <w:pStyle w:val="Normal"/>
        <w:keepNext w:val="true"/>
        <w:keepLines/>
        <w:widowControl/>
        <w:tabs>
          <w:tab w:val="clear" w:pos="720"/>
          <w:tab w:val="left" w:pos="-1440" w:leader="none"/>
          <w:tab w:val="left" w:pos="-720" w:leader="none"/>
        </w:tabs>
        <w:suppressAutoHyphens w:val="true"/>
        <w:rPr/>
      </w:pPr>
      <w:r>
        <w:rPr/>
      </w:r>
    </w:p>
    <w:p>
      <w:pPr>
        <w:pStyle w:val="Normal"/>
        <w:keepNext w:val="true"/>
        <w:keepLines/>
        <w:widowControl/>
        <w:tabs>
          <w:tab w:val="left" w:pos="-1440" w:leader="none"/>
          <w:tab w:val="left" w:pos="-720" w:leader="none"/>
          <w:tab w:val="left" w:pos="0" w:leader="none"/>
          <w:tab w:val="left" w:pos="720" w:leader="none"/>
          <w:tab w:val="left" w:pos="1440" w:leader="none"/>
        </w:tabs>
        <w:suppressAutoHyphens w:val="true"/>
        <w:ind w:hanging="2160" w:start="2160" w:end="0"/>
        <w:rPr/>
      </w:pPr>
      <w:r>
        <w:rPr/>
        <w:tab/>
        <w:tab/>
        <w:t>(A)</w:t>
      </w:r>
      <w:r>
        <w:rPr>
          <w:b/>
          <w:bCs/>
          <w:i/>
          <w:iCs/>
        </w:rPr>
        <w:tab/>
      </w:r>
      <w:r>
        <w:rPr/>
        <w:t>"</w:t>
      </w:r>
      <w:r>
        <w:rPr>
          <w:b/>
          <w:bCs/>
          <w:i/>
          <w:iCs/>
        </w:rPr>
        <w:t>Independent Amount</w:t>
      </w:r>
      <w:r>
        <w:rPr/>
        <w:t xml:space="preserve">" means with respect to Party B:  </w:t>
      </w:r>
      <w:r>
        <w:rPr>
          <w:strike/>
        </w:rPr>
        <w:t>U.S.$[0]</w:t>
      </w:r>
      <w:r>
        <w:rPr/>
        <w:t xml:space="preserve"> </w:t>
      </w:r>
      <w:r>
        <w:rPr>
          <w:b/>
          <w:bCs/>
          <w:u w:val="double"/>
        </w:rPr>
        <w:t>U.S.$2,000,000</w:t>
      </w:r>
      <w:r>
        <w:rPr/>
        <w:t>.</w:t>
      </w:r>
    </w:p>
    <w:p>
      <w:pPr>
        <w:pStyle w:val="Normal"/>
        <w:keepNext w:val="true"/>
        <w:keepLines/>
        <w:widowControl/>
        <w:tabs>
          <w:tab w:val="clear" w:pos="720"/>
          <w:tab w:val="left" w:pos="-1440" w:leader="none"/>
          <w:tab w:val="left" w:pos="-720" w:leader="none"/>
        </w:tabs>
        <w:suppressAutoHyphens w:val="true"/>
        <w:rPr/>
      </w:pPr>
      <w:r>
        <w:rPr/>
      </w:r>
    </w:p>
    <w:p>
      <w:pPr>
        <w:pStyle w:val="Normal"/>
        <w:widowControl/>
        <w:rPr/>
      </w:pPr>
      <w:r>
        <w:rPr/>
        <w:tab/>
        <w:tab/>
        <w:t>(B)</w:t>
      </w:r>
      <w:r>
        <w:rPr>
          <w:b/>
          <w:bCs/>
          <w:i/>
          <w:iCs/>
        </w:rPr>
        <w:tab/>
      </w:r>
      <w:r>
        <w:rPr/>
        <w:t>"</w:t>
      </w:r>
      <w:r>
        <w:rPr>
          <w:b/>
          <w:bCs/>
          <w:i/>
          <w:iCs/>
        </w:rPr>
        <w:t>Threshold</w:t>
      </w:r>
      <w:r>
        <w:rPr/>
        <w:t>" means with respect to Party B:  U.S. $0.</w:t>
      </w:r>
    </w:p>
    <w:p>
      <w:pPr>
        <w:pStyle w:val="Normal"/>
        <w:widowControl/>
        <w:tabs>
          <w:tab w:val="clear" w:pos="720"/>
          <w:tab w:val="left" w:pos="-1440" w:leader="none"/>
          <w:tab w:val="left" w:pos="-720" w:leader="none"/>
        </w:tabs>
        <w:suppressAutoHyphens w:val="true"/>
        <w:rPr/>
      </w:pPr>
      <w:r>
        <w:rPr/>
      </w:r>
    </w:p>
    <w:p>
      <w:pPr>
        <w:pStyle w:val="Normal"/>
        <w:widowControl/>
        <w:tabs>
          <w:tab w:val="left" w:pos="-720" w:leader="none"/>
          <w:tab w:val="left" w:pos="0" w:leader="none"/>
          <w:tab w:val="left" w:pos="720" w:leader="none"/>
          <w:tab w:val="left" w:pos="1440" w:leader="none"/>
          <w:tab w:val="left" w:pos="2970" w:leader="none"/>
        </w:tabs>
        <w:suppressAutoHyphens w:val="true"/>
        <w:ind w:hanging="2160" w:start="2160" w:end="0"/>
        <w:jc w:val="both"/>
        <w:rPr/>
      </w:pPr>
      <w:r>
        <w:rPr/>
        <w:tab/>
        <w:tab/>
        <w:t>(C)</w:t>
      </w:r>
      <w:r>
        <w:rPr>
          <w:b/>
          <w:bCs/>
          <w:i/>
          <w:iCs/>
        </w:rPr>
        <w:tab/>
      </w:r>
      <w:r>
        <w:rPr/>
        <w:t>"</w:t>
      </w:r>
      <w:r>
        <w:rPr>
          <w:b/>
          <w:bCs/>
          <w:i/>
          <w:iCs/>
        </w:rPr>
        <w:t>Minimum Transfer Amount</w:t>
      </w:r>
      <w:r>
        <w:rPr/>
        <w:t xml:space="preserve">" means, with respect to Party B, </w:t>
      </w:r>
      <w:r>
        <w:rPr>
          <w:strike/>
        </w:rPr>
        <w:t>U.S.$50,000</w:t>
      </w:r>
      <w:r>
        <w:rPr/>
        <w:t xml:space="preserve"> </w:t>
      </w:r>
      <w:r>
        <w:rPr>
          <w:b/>
          <w:bCs/>
          <w:u w:val="double"/>
        </w:rPr>
        <w:t>U.S.$500,000</w:t>
      </w:r>
      <w:r>
        <w:rPr/>
        <w:t xml:space="preserve">; </w:t>
      </w:r>
      <w:r>
        <w:rPr>
          <w:i/>
          <w:iCs/>
        </w:rPr>
        <w:t>provided</w:t>
      </w:r>
      <w:r>
        <w:rPr/>
        <w:t xml:space="preserve"> that if a Secured Party is holding Posted Credit Support and the Credit Support Amount for that Secured Party is, or is deemed to be, zero at the time and, but for its Minimum Transfer Amount, the Secured Party would be required to make a Transfer to the Pledgor under Paragraph 3(b), the Minimum Transfer Amount for that Secured Party will be zero; and, </w:t>
      </w:r>
      <w:r>
        <w:rPr>
          <w:i/>
          <w:iCs/>
        </w:rPr>
        <w:t>provided further</w:t>
      </w:r>
      <w:r>
        <w:rPr/>
        <w:t>, that if an Event of Default or a Potential Event of Default occurs and is continuing with respect to such party or an Early Termination Date has occurred or been designated as a result of an Event of Default with respect to such party, the Minimum Transfer Amount will be zero</w:t>
      </w:r>
    </w:p>
    <w:p>
      <w:pPr>
        <w:pStyle w:val="Normal"/>
        <w:widowControl/>
        <w:tabs>
          <w:tab w:val="clear" w:pos="720"/>
          <w:tab w:val="left" w:pos="-1440" w:leader="none"/>
          <w:tab w:val="left" w:pos="-720" w:leader="none"/>
        </w:tabs>
        <w:suppressAutoHyphens w:val="true"/>
        <w:rPr/>
      </w:pPr>
      <w:r>
        <w:rPr/>
      </w:r>
    </w:p>
    <w:p>
      <w:pPr>
        <w:pStyle w:val="Normal"/>
        <w:widowControl/>
        <w:ind w:hanging="720" w:start="2160" w:end="0"/>
        <w:rPr/>
      </w:pPr>
      <w:r>
        <w:rPr/>
        <w:t>(D)</w:t>
      </w:r>
      <w:r>
        <w:rPr>
          <w:b/>
          <w:bCs/>
        </w:rPr>
        <w:tab/>
        <w:t xml:space="preserve">Rounding. </w:t>
      </w:r>
      <w:r>
        <w:rPr/>
        <w:t xml:space="preserve">The Delivery Amount and the Return Amount will be rounded up and down to the nearest integral multiple of </w:t>
      </w:r>
      <w:r>
        <w:rPr>
          <w:strike/>
        </w:rPr>
        <w:t>$[25,000]</w:t>
      </w:r>
      <w:r>
        <w:rPr/>
        <w:t xml:space="preserve"> </w:t>
      </w:r>
      <w:r>
        <w:rPr>
          <w:b/>
          <w:bCs/>
          <w:u w:val="double"/>
        </w:rPr>
        <w:t>$1,000</w:t>
      </w:r>
      <w:r>
        <w:rPr/>
        <w:t xml:space="preserve">, respectively, with </w:t>
      </w:r>
      <w:r>
        <w:rPr>
          <w:strike/>
        </w:rPr>
        <w:t>$[12,500]</w:t>
      </w:r>
      <w:r>
        <w:rPr/>
        <w:t xml:space="preserve"> </w:t>
      </w:r>
      <w:r>
        <w:rPr>
          <w:b/>
          <w:bCs/>
          <w:u w:val="double"/>
        </w:rPr>
        <w:t>$500</w:t>
      </w:r>
      <w:r>
        <w:rPr/>
        <w:t xml:space="preserve"> being rounded up.</w:t>
      </w:r>
    </w:p>
    <w:p>
      <w:pPr>
        <w:pStyle w:val="Normal"/>
        <w:keepNext w:val="true"/>
        <w:keepLines/>
        <w:widowControl/>
        <w:tabs>
          <w:tab w:val="clear" w:pos="720"/>
          <w:tab w:val="left" w:pos="-1440" w:leader="none"/>
          <w:tab w:val="left" w:pos="-720" w:leader="none"/>
          <w:tab w:val="left" w:pos="0" w:leader="none"/>
        </w:tabs>
        <w:suppressAutoHyphens w:val="true"/>
        <w:ind w:hanging="720" w:start="720" w:end="0"/>
        <w:rPr/>
      </w:pPr>
      <w:r>
        <w:rPr/>
        <w:tab/>
      </w:r>
    </w:p>
    <w:p>
      <w:pPr>
        <w:pStyle w:val="Normal"/>
        <w:widowControl/>
        <w:tabs>
          <w:tab w:val="clear" w:pos="720"/>
          <w:tab w:val="left" w:pos="-1440" w:leader="none"/>
          <w:tab w:val="left" w:pos="-720" w:leader="none"/>
          <w:tab w:val="left" w:pos="0" w:leader="none"/>
        </w:tabs>
        <w:suppressAutoHyphens w:val="true"/>
        <w:ind w:hanging="720" w:start="720" w:end="0"/>
        <w:rPr/>
      </w:pPr>
      <w:r>
        <w:rPr/>
        <w:t>(c)</w:t>
      </w:r>
      <w:r>
        <w:rPr>
          <w:b/>
          <w:bCs/>
          <w:i/>
          <w:iCs/>
        </w:rPr>
        <w:tab/>
        <w:t>Valuation and Timing.</w:t>
      </w:r>
    </w:p>
    <w:p>
      <w:pPr>
        <w:pStyle w:val="Normal"/>
        <w:widowControl/>
        <w:tabs>
          <w:tab w:val="clear" w:pos="720"/>
          <w:tab w:val="left" w:pos="-1440" w:leader="none"/>
          <w:tab w:val="left" w:pos="-720" w:leader="none"/>
        </w:tabs>
        <w:suppressAutoHyphens w:val="true"/>
        <w:rPr/>
      </w:pPr>
      <w:r>
        <w:rPr/>
      </w:r>
    </w:p>
    <w:p>
      <w:pPr>
        <w:pStyle w:val="Normal"/>
        <w:widowControl/>
        <w:tabs>
          <w:tab w:val="clear" w:pos="720"/>
          <w:tab w:val="left" w:pos="-1440" w:leader="none"/>
          <w:tab w:val="left" w:pos="-720" w:leader="none"/>
          <w:tab w:val="left" w:pos="0" w:leader="none"/>
        </w:tabs>
        <w:suppressAutoHyphens w:val="true"/>
        <w:ind w:hanging="720" w:start="720" w:end="0"/>
        <w:rPr/>
      </w:pPr>
      <w:r>
        <w:rPr/>
        <w:tab/>
        <w:t>(i)  "</w:t>
      </w:r>
      <w:r>
        <w:rPr>
          <w:b/>
          <w:bCs/>
          <w:i/>
          <w:iCs/>
        </w:rPr>
        <w:t>Valuation Agent</w:t>
      </w:r>
      <w:r>
        <w:rPr/>
        <w:t>" means the Calculation Agent.</w:t>
      </w:r>
    </w:p>
    <w:p>
      <w:pPr>
        <w:pStyle w:val="Normal"/>
        <w:widowControl/>
        <w:tabs>
          <w:tab w:val="clear" w:pos="720"/>
          <w:tab w:val="left" w:pos="-1440" w:leader="none"/>
          <w:tab w:val="left" w:pos="-720" w:leader="none"/>
        </w:tabs>
        <w:suppressAutoHyphens w:val="true"/>
        <w:rPr/>
      </w:pPr>
      <w:r>
        <w:rPr/>
      </w:r>
    </w:p>
    <w:p>
      <w:pPr>
        <w:pStyle w:val="Normal"/>
        <w:widowControl/>
        <w:tabs>
          <w:tab w:val="clear" w:pos="720"/>
          <w:tab w:val="left" w:pos="-1440" w:leader="none"/>
          <w:tab w:val="left" w:pos="-720" w:leader="none"/>
          <w:tab w:val="left" w:pos="0" w:leader="none"/>
        </w:tabs>
        <w:suppressAutoHyphens w:val="true"/>
        <w:ind w:hanging="720" w:start="720" w:end="0"/>
        <w:rPr/>
      </w:pPr>
      <w:r>
        <w:rPr/>
        <w:tab/>
        <w:t>(ii)  "</w:t>
      </w:r>
      <w:r>
        <w:rPr>
          <w:b/>
          <w:bCs/>
          <w:i/>
          <w:iCs/>
        </w:rPr>
        <w:t>Valuation Date</w:t>
      </w:r>
      <w:r>
        <w:rPr/>
        <w:t>" means each day that is a Local Business Day for both Party A and Party B.</w:t>
      </w:r>
    </w:p>
    <w:p>
      <w:pPr>
        <w:pStyle w:val="Normal"/>
        <w:widowControl/>
        <w:tabs>
          <w:tab w:val="clear" w:pos="720"/>
          <w:tab w:val="left" w:pos="-1440" w:leader="none"/>
          <w:tab w:val="left" w:pos="-720" w:leader="none"/>
        </w:tabs>
        <w:suppressAutoHyphens w:val="true"/>
        <w:rPr/>
      </w:pPr>
      <w:r>
        <w:rPr/>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s>
        <w:suppressAutoHyphens w:val="true"/>
        <w:ind w:hanging="720" w:start="720" w:end="0"/>
        <w:rPr/>
      </w:pPr>
      <w:r>
        <w:rPr/>
        <w:tab/>
        <w:t>(iii)  "</w:t>
      </w:r>
      <w:r>
        <w:rPr>
          <w:b/>
          <w:bCs/>
          <w:i/>
          <w:iCs/>
        </w:rPr>
        <w:t>Valuation Time</w:t>
      </w:r>
      <w:r>
        <w:rPr/>
        <w:t xml:space="preserve">" means the close of business in the city in which the principal office of the Valuation Agent is located on the Local Business Day in that city before the Valuation Date or date of calculation, as applicable; </w:t>
      </w:r>
      <w:r>
        <w:rPr>
          <w:i/>
          <w:iCs/>
        </w:rPr>
        <w:t>provided</w:t>
      </w:r>
      <w:r>
        <w:rPr/>
        <w:t xml:space="preserve"> that the calculations of Value and Exposure will be made as of approximately the same time on the same date.</w:t>
      </w:r>
    </w:p>
    <w:p>
      <w:pPr>
        <w:pStyle w:val="Normal"/>
        <w:widowControl/>
        <w:tabs>
          <w:tab w:val="clear" w:pos="720"/>
          <w:tab w:val="left" w:pos="-1440" w:leader="none"/>
          <w:tab w:val="left" w:pos="-720" w:leader="none"/>
        </w:tabs>
        <w:suppressAutoHyphens w:val="true"/>
        <w:rPr/>
      </w:pPr>
      <w:r>
        <w:rPr/>
      </w:r>
    </w:p>
    <w:p>
      <w:pPr>
        <w:pStyle w:val="Normal"/>
        <w:widowControl/>
        <w:tabs>
          <w:tab w:val="clear" w:pos="720"/>
          <w:tab w:val="left" w:pos="-1440" w:leader="none"/>
          <w:tab w:val="left" w:pos="-720" w:leader="none"/>
          <w:tab w:val="left" w:pos="0" w:leader="none"/>
        </w:tabs>
        <w:suppressAutoHyphens w:val="true"/>
        <w:ind w:hanging="720" w:start="720" w:end="0"/>
        <w:rPr/>
      </w:pPr>
      <w:r>
        <w:rPr/>
        <w:tab/>
        <w:t>(iv)  "</w:t>
      </w:r>
      <w:r>
        <w:rPr>
          <w:b/>
          <w:bCs/>
          <w:i/>
          <w:iCs/>
        </w:rPr>
        <w:t>Notification Time</w:t>
      </w:r>
      <w:r>
        <w:rPr/>
        <w:t>" means 1:00 p.m., New York time, on a Local Business Day.</w:t>
      </w:r>
    </w:p>
    <w:p>
      <w:pPr>
        <w:pStyle w:val="Normal"/>
        <w:widowControl/>
        <w:tabs>
          <w:tab w:val="clear" w:pos="720"/>
          <w:tab w:val="left" w:pos="-1440" w:leader="none"/>
          <w:tab w:val="left" w:pos="-720" w:leader="none"/>
        </w:tabs>
        <w:suppressAutoHyphens w:val="true"/>
        <w:rPr/>
      </w:pPr>
      <w:r>
        <w:rPr/>
      </w:r>
    </w:p>
    <w:p>
      <w:pPr>
        <w:pStyle w:val="Normal"/>
        <w:widowControl/>
        <w:tabs>
          <w:tab w:val="clear" w:pos="720"/>
          <w:tab w:val="left" w:pos="-1440" w:leader="none"/>
          <w:tab w:val="left" w:pos="-720" w:leader="none"/>
          <w:tab w:val="left" w:pos="0" w:leader="none"/>
        </w:tabs>
        <w:suppressAutoHyphens w:val="true"/>
        <w:ind w:hanging="720" w:start="720" w:end="0"/>
        <w:rPr/>
      </w:pPr>
      <w:r>
        <w:rPr/>
        <w:t>(d)</w:t>
      </w:r>
      <w:r>
        <w:rPr>
          <w:b/>
          <w:bCs/>
          <w:i/>
          <w:iCs/>
        </w:rPr>
        <w:tab/>
        <w:t>Conditions Precedent and Secured Party’s Rights and Remedies.</w:t>
      </w:r>
      <w:r>
        <w:rPr/>
        <w:t xml:space="preserve">  The following Termination Event(s) will be a "</w:t>
      </w:r>
      <w:r>
        <w:rPr>
          <w:b/>
          <w:bCs/>
          <w:i/>
          <w:iCs/>
        </w:rPr>
        <w:t>Specified Condition</w:t>
      </w:r>
      <w:r>
        <w:rPr/>
        <w:t>" for the party specified (that party being the Affected Party if the Termination Event occurs with respect to that party):</w:t>
      </w:r>
    </w:p>
    <w:p>
      <w:pPr>
        <w:pStyle w:val="Normal"/>
        <w:widowControl/>
        <w:tabs>
          <w:tab w:val="clear" w:pos="720"/>
          <w:tab w:val="left" w:pos="-1440" w:leader="none"/>
          <w:tab w:val="left" w:pos="-720" w:leader="none"/>
        </w:tabs>
        <w:suppressAutoHyphens w:val="true"/>
        <w:rPr/>
      </w:pPr>
      <w:r>
        <w:rPr/>
      </w:r>
    </w:p>
    <w:tbl>
      <w:tblPr>
        <w:tblW w:w="5474" w:type="dxa"/>
        <w:jc w:val="start"/>
        <w:tblInd w:w="1200" w:type="dxa"/>
        <w:tblLayout w:type="fixed"/>
        <w:tblCellMar>
          <w:top w:w="0" w:type="dxa"/>
          <w:start w:w="120" w:type="dxa"/>
          <w:bottom w:w="0" w:type="dxa"/>
          <w:end w:w="120" w:type="dxa"/>
        </w:tblCellMar>
      </w:tblPr>
      <w:tblGrid>
        <w:gridCol w:w="3222"/>
        <w:gridCol w:w="1126"/>
        <w:gridCol w:w="1126"/>
      </w:tblGrid>
      <w:tr>
        <w:trPr/>
        <w:tc>
          <w:tcPr>
            <w:tcW w:w="3222" w:type="dxa"/>
            <w:tcBorders>
              <w:top w:val="single" w:sz="6" w:space="0" w:color="000000"/>
              <w:start w:val="single" w:sz="6" w:space="0" w:color="000000"/>
            </w:tcBorders>
          </w:tcPr>
          <w:p>
            <w:pPr>
              <w:pStyle w:val="Normal"/>
              <w:keepNext w:val="true"/>
              <w:widowControl/>
              <w:tabs>
                <w:tab w:val="clear" w:pos="720"/>
                <w:tab w:val="left" w:pos="-1440" w:leader="none"/>
                <w:tab w:val="left" w:pos="-720" w:leader="none"/>
              </w:tabs>
              <w:suppressAutoHyphens w:val="true"/>
              <w:spacing w:before="18" w:after="54"/>
              <w:rPr/>
            </w:pPr>
            <w:r>
              <w:rPr/>
              <w:t>Termination Event</w:t>
            </w:r>
          </w:p>
        </w:tc>
        <w:tc>
          <w:tcPr>
            <w:tcW w:w="1126" w:type="dxa"/>
            <w:tcBorders>
              <w:top w:val="single" w:sz="6" w:space="0" w:color="000000"/>
              <w:start w:val="single" w:sz="6" w:space="0" w:color="000000"/>
            </w:tcBorders>
          </w:tcPr>
          <w:p>
            <w:pPr>
              <w:pStyle w:val="Normal"/>
              <w:keepNext w:val="true"/>
              <w:widowControl/>
              <w:tabs>
                <w:tab w:val="clear" w:pos="720"/>
                <w:tab w:val="left" w:pos="-1440" w:leader="none"/>
                <w:tab w:val="left" w:pos="-720" w:leader="none"/>
              </w:tabs>
              <w:suppressAutoHyphens w:val="true"/>
              <w:spacing w:before="18" w:after="54"/>
              <w:jc w:val="center"/>
              <w:rPr/>
            </w:pPr>
            <w:r>
              <w:rPr/>
              <w:t>Party A</w:t>
            </w:r>
          </w:p>
        </w:tc>
        <w:tc>
          <w:tcPr>
            <w:tcW w:w="1126" w:type="dxa"/>
            <w:tcBorders>
              <w:top w:val="single" w:sz="6" w:space="0" w:color="000000"/>
              <w:start w:val="single" w:sz="6" w:space="0" w:color="000000"/>
              <w:end w:val="single" w:sz="6" w:space="0" w:color="000000"/>
            </w:tcBorders>
          </w:tcPr>
          <w:p>
            <w:pPr>
              <w:pStyle w:val="Normal"/>
              <w:keepNext w:val="true"/>
              <w:keepLines/>
              <w:widowControl/>
              <w:tabs>
                <w:tab w:val="clear" w:pos="720"/>
                <w:tab w:val="left" w:pos="-1440" w:leader="none"/>
                <w:tab w:val="left" w:pos="-720" w:leader="none"/>
              </w:tabs>
              <w:suppressAutoHyphens w:val="true"/>
              <w:spacing w:before="18" w:after="54"/>
              <w:jc w:val="center"/>
              <w:rPr/>
            </w:pPr>
            <w:r>
              <w:rPr/>
              <w:t>Party B</w:t>
            </w:r>
          </w:p>
        </w:tc>
      </w:tr>
      <w:tr>
        <w:trPr/>
        <w:tc>
          <w:tcPr>
            <w:tcW w:w="3222" w:type="dxa"/>
            <w:tcBorders>
              <w:top w:val="single" w:sz="6" w:space="0" w:color="000000"/>
              <w:start w:val="single" w:sz="6" w:space="0" w:color="000000"/>
            </w:tcBorders>
          </w:tcPr>
          <w:p>
            <w:pPr>
              <w:pStyle w:val="Normal"/>
              <w:keepNext w:val="true"/>
              <w:widowControl/>
              <w:tabs>
                <w:tab w:val="clear" w:pos="720"/>
                <w:tab w:val="left" w:pos="-1440" w:leader="none"/>
                <w:tab w:val="left" w:pos="-720" w:leader="none"/>
              </w:tabs>
              <w:suppressAutoHyphens w:val="true"/>
              <w:spacing w:before="18" w:after="54"/>
              <w:rPr/>
            </w:pPr>
            <w:r>
              <w:rPr/>
              <w:t>Illegality</w:t>
            </w:r>
          </w:p>
        </w:tc>
        <w:tc>
          <w:tcPr>
            <w:tcW w:w="1126" w:type="dxa"/>
            <w:tcBorders>
              <w:top w:val="single" w:sz="6" w:space="0" w:color="000000"/>
              <w:start w:val="single" w:sz="6" w:space="0" w:color="000000"/>
            </w:tcBorders>
          </w:tcPr>
          <w:p>
            <w:pPr>
              <w:pStyle w:val="Normal"/>
              <w:keepNext w:val="true"/>
              <w:widowControl/>
              <w:tabs>
                <w:tab w:val="clear" w:pos="720"/>
                <w:tab w:val="left" w:pos="-1440" w:leader="none"/>
                <w:tab w:val="left" w:pos="-720" w:leader="none"/>
              </w:tabs>
              <w:suppressAutoHyphens w:val="true"/>
              <w:spacing w:before="18" w:after="54"/>
              <w:jc w:val="center"/>
              <w:rPr/>
            </w:pPr>
            <w:r>
              <w:rPr/>
              <w:t>N/A</w:t>
            </w:r>
          </w:p>
        </w:tc>
        <w:tc>
          <w:tcPr>
            <w:tcW w:w="1126" w:type="dxa"/>
            <w:tcBorders>
              <w:top w:val="single" w:sz="6" w:space="0" w:color="000000"/>
              <w:start w:val="single" w:sz="6" w:space="0" w:color="000000"/>
              <w:end w:val="single" w:sz="6" w:space="0" w:color="000000"/>
            </w:tcBorders>
          </w:tcPr>
          <w:p>
            <w:pPr>
              <w:pStyle w:val="Normal"/>
              <w:keepNext w:val="true"/>
              <w:keepLines/>
              <w:widowControl/>
              <w:tabs>
                <w:tab w:val="clear" w:pos="720"/>
                <w:tab w:val="left" w:pos="-1440" w:leader="none"/>
                <w:tab w:val="left" w:pos="-720" w:leader="none"/>
              </w:tabs>
              <w:suppressAutoHyphens w:val="true"/>
              <w:spacing w:before="18" w:after="54"/>
              <w:jc w:val="center"/>
              <w:rPr/>
            </w:pPr>
            <w:r>
              <w:rPr/>
              <w:t>NO</w:t>
            </w:r>
          </w:p>
        </w:tc>
      </w:tr>
      <w:tr>
        <w:trPr/>
        <w:tc>
          <w:tcPr>
            <w:tcW w:w="3222" w:type="dxa"/>
            <w:tcBorders>
              <w:top w:val="single" w:sz="6" w:space="0" w:color="000000"/>
              <w:start w:val="single" w:sz="6" w:space="0" w:color="000000"/>
            </w:tcBorders>
          </w:tcPr>
          <w:p>
            <w:pPr>
              <w:pStyle w:val="Normal"/>
              <w:keepNext w:val="true"/>
              <w:widowControl/>
              <w:tabs>
                <w:tab w:val="clear" w:pos="720"/>
                <w:tab w:val="left" w:pos="-1440" w:leader="none"/>
                <w:tab w:val="left" w:pos="-720" w:leader="none"/>
              </w:tabs>
              <w:suppressAutoHyphens w:val="true"/>
              <w:spacing w:before="18" w:after="54"/>
              <w:rPr/>
            </w:pPr>
            <w:r>
              <w:rPr/>
              <w:t>Tax Event</w:t>
            </w:r>
          </w:p>
        </w:tc>
        <w:tc>
          <w:tcPr>
            <w:tcW w:w="1126" w:type="dxa"/>
            <w:tcBorders>
              <w:top w:val="single" w:sz="6" w:space="0" w:color="000000"/>
              <w:start w:val="single" w:sz="6" w:space="0" w:color="000000"/>
            </w:tcBorders>
          </w:tcPr>
          <w:p>
            <w:pPr>
              <w:pStyle w:val="Normal"/>
              <w:keepNext w:val="true"/>
              <w:widowControl/>
              <w:tabs>
                <w:tab w:val="clear" w:pos="720"/>
                <w:tab w:val="left" w:pos="-1440" w:leader="none"/>
                <w:tab w:val="left" w:pos="-720" w:leader="none"/>
              </w:tabs>
              <w:suppressAutoHyphens w:val="true"/>
              <w:spacing w:before="18" w:after="54"/>
              <w:jc w:val="center"/>
              <w:rPr/>
            </w:pPr>
            <w:r>
              <w:rPr/>
              <w:t>N/A</w:t>
            </w:r>
          </w:p>
        </w:tc>
        <w:tc>
          <w:tcPr>
            <w:tcW w:w="1126" w:type="dxa"/>
            <w:tcBorders>
              <w:top w:val="single" w:sz="6" w:space="0" w:color="000000"/>
              <w:start w:val="single" w:sz="6" w:space="0" w:color="000000"/>
              <w:end w:val="single" w:sz="6" w:space="0" w:color="000000"/>
            </w:tcBorders>
          </w:tcPr>
          <w:p>
            <w:pPr>
              <w:pStyle w:val="Normal"/>
              <w:keepNext w:val="true"/>
              <w:keepLines/>
              <w:widowControl/>
              <w:tabs>
                <w:tab w:val="clear" w:pos="720"/>
                <w:tab w:val="left" w:pos="-1440" w:leader="none"/>
                <w:tab w:val="left" w:pos="-720" w:leader="none"/>
              </w:tabs>
              <w:suppressAutoHyphens w:val="true"/>
              <w:spacing w:before="18" w:after="54"/>
              <w:jc w:val="center"/>
              <w:rPr/>
            </w:pPr>
            <w:r>
              <w:rPr/>
              <w:t>NO</w:t>
            </w:r>
          </w:p>
        </w:tc>
      </w:tr>
      <w:tr>
        <w:trPr/>
        <w:tc>
          <w:tcPr>
            <w:tcW w:w="3222" w:type="dxa"/>
            <w:tcBorders>
              <w:top w:val="single" w:sz="6" w:space="0" w:color="000000"/>
              <w:start w:val="single" w:sz="6" w:space="0" w:color="000000"/>
            </w:tcBorders>
          </w:tcPr>
          <w:p>
            <w:pPr>
              <w:pStyle w:val="Normal"/>
              <w:keepNext w:val="true"/>
              <w:widowControl/>
              <w:tabs>
                <w:tab w:val="clear" w:pos="720"/>
                <w:tab w:val="left" w:pos="-1440" w:leader="none"/>
                <w:tab w:val="left" w:pos="-720" w:leader="none"/>
              </w:tabs>
              <w:suppressAutoHyphens w:val="true"/>
              <w:spacing w:before="18" w:after="54"/>
              <w:rPr/>
            </w:pPr>
            <w:r>
              <w:rPr/>
              <w:t>Tax Event Upon Merger</w:t>
            </w:r>
          </w:p>
        </w:tc>
        <w:tc>
          <w:tcPr>
            <w:tcW w:w="1126" w:type="dxa"/>
            <w:tcBorders>
              <w:top w:val="single" w:sz="6" w:space="0" w:color="000000"/>
              <w:start w:val="single" w:sz="6" w:space="0" w:color="000000"/>
            </w:tcBorders>
          </w:tcPr>
          <w:p>
            <w:pPr>
              <w:pStyle w:val="Normal"/>
              <w:keepNext w:val="true"/>
              <w:widowControl/>
              <w:tabs>
                <w:tab w:val="clear" w:pos="720"/>
                <w:tab w:val="left" w:pos="-1440" w:leader="none"/>
                <w:tab w:val="left" w:pos="-720" w:leader="none"/>
              </w:tabs>
              <w:suppressAutoHyphens w:val="true"/>
              <w:spacing w:before="18" w:after="54"/>
              <w:jc w:val="center"/>
              <w:rPr/>
            </w:pPr>
            <w:r>
              <w:rPr/>
              <w:t>N/A</w:t>
            </w:r>
          </w:p>
        </w:tc>
        <w:tc>
          <w:tcPr>
            <w:tcW w:w="1126" w:type="dxa"/>
            <w:tcBorders>
              <w:top w:val="single" w:sz="6" w:space="0" w:color="000000"/>
              <w:start w:val="single" w:sz="6" w:space="0" w:color="000000"/>
              <w:end w:val="single" w:sz="6" w:space="0" w:color="000000"/>
            </w:tcBorders>
          </w:tcPr>
          <w:p>
            <w:pPr>
              <w:pStyle w:val="Normal"/>
              <w:keepNext w:val="true"/>
              <w:keepLines/>
              <w:widowControl/>
              <w:tabs>
                <w:tab w:val="clear" w:pos="720"/>
                <w:tab w:val="left" w:pos="-1440" w:leader="none"/>
                <w:tab w:val="left" w:pos="-720" w:leader="none"/>
              </w:tabs>
              <w:suppressAutoHyphens w:val="true"/>
              <w:spacing w:before="18" w:after="54"/>
              <w:jc w:val="center"/>
              <w:rPr/>
            </w:pPr>
            <w:r>
              <w:rPr/>
              <w:t>NO</w:t>
            </w:r>
          </w:p>
        </w:tc>
      </w:tr>
      <w:tr>
        <w:trPr/>
        <w:tc>
          <w:tcPr>
            <w:tcW w:w="3222" w:type="dxa"/>
            <w:tcBorders>
              <w:top w:val="single" w:sz="6" w:space="0" w:color="000000"/>
              <w:start w:val="single" w:sz="6" w:space="0" w:color="000000"/>
            </w:tcBorders>
          </w:tcPr>
          <w:p>
            <w:pPr>
              <w:pStyle w:val="Normal"/>
              <w:keepNext w:val="true"/>
              <w:widowControl/>
              <w:tabs>
                <w:tab w:val="clear" w:pos="720"/>
                <w:tab w:val="left" w:pos="-1440" w:leader="none"/>
                <w:tab w:val="left" w:pos="-720" w:leader="none"/>
              </w:tabs>
              <w:suppressAutoHyphens w:val="true"/>
              <w:spacing w:before="18" w:after="54"/>
              <w:rPr/>
            </w:pPr>
            <w:r>
              <w:rPr/>
              <w:t>Credit Event Upon Merger</w:t>
            </w:r>
          </w:p>
        </w:tc>
        <w:tc>
          <w:tcPr>
            <w:tcW w:w="1126" w:type="dxa"/>
            <w:tcBorders>
              <w:top w:val="single" w:sz="6" w:space="0" w:color="000000"/>
              <w:start w:val="single" w:sz="6" w:space="0" w:color="000000"/>
            </w:tcBorders>
          </w:tcPr>
          <w:p>
            <w:pPr>
              <w:pStyle w:val="Normal"/>
              <w:keepNext w:val="true"/>
              <w:widowControl/>
              <w:tabs>
                <w:tab w:val="clear" w:pos="720"/>
                <w:tab w:val="left" w:pos="-1440" w:leader="none"/>
                <w:tab w:val="left" w:pos="-720" w:leader="none"/>
              </w:tabs>
              <w:suppressAutoHyphens w:val="true"/>
              <w:spacing w:before="18" w:after="54"/>
              <w:jc w:val="center"/>
              <w:rPr/>
            </w:pPr>
            <w:r>
              <w:rPr/>
              <w:t>N/A</w:t>
            </w:r>
          </w:p>
        </w:tc>
        <w:tc>
          <w:tcPr>
            <w:tcW w:w="1126" w:type="dxa"/>
            <w:tcBorders>
              <w:top w:val="single" w:sz="6" w:space="0" w:color="000000"/>
              <w:start w:val="single" w:sz="6" w:space="0" w:color="000000"/>
              <w:end w:val="single" w:sz="6" w:space="0" w:color="000000"/>
            </w:tcBorders>
          </w:tcPr>
          <w:p>
            <w:pPr>
              <w:pStyle w:val="Normal"/>
              <w:keepNext w:val="true"/>
              <w:keepLines/>
              <w:widowControl/>
              <w:tabs>
                <w:tab w:val="clear" w:pos="720"/>
                <w:tab w:val="left" w:pos="-1440" w:leader="none"/>
                <w:tab w:val="left" w:pos="-720" w:leader="none"/>
              </w:tabs>
              <w:suppressAutoHyphens w:val="true"/>
              <w:spacing w:before="18" w:after="54"/>
              <w:jc w:val="center"/>
              <w:rPr/>
            </w:pPr>
            <w:r>
              <w:rPr/>
              <w:t>NO</w:t>
            </w:r>
          </w:p>
        </w:tc>
      </w:tr>
      <w:tr>
        <w:trPr/>
        <w:tc>
          <w:tcPr>
            <w:tcW w:w="3222" w:type="dxa"/>
            <w:tcBorders>
              <w:top w:val="single" w:sz="6" w:space="0" w:color="000000"/>
              <w:start w:val="single" w:sz="6" w:space="0" w:color="000000"/>
              <w:bottom w:val="single" w:sz="6" w:space="0" w:color="000000"/>
            </w:tcBorders>
          </w:tcPr>
          <w:p>
            <w:pPr>
              <w:pStyle w:val="Normal"/>
              <w:keepNext w:val="true"/>
              <w:widowControl/>
              <w:tabs>
                <w:tab w:val="clear" w:pos="720"/>
                <w:tab w:val="left" w:pos="-1440" w:leader="none"/>
                <w:tab w:val="left" w:pos="-720" w:leader="none"/>
              </w:tabs>
              <w:suppressAutoHyphens w:val="true"/>
              <w:spacing w:before="18" w:after="54"/>
              <w:rPr/>
            </w:pPr>
            <w:r>
              <w:rPr/>
              <w:t>Additional Termination Event(s)</w:t>
            </w:r>
          </w:p>
        </w:tc>
        <w:tc>
          <w:tcPr>
            <w:tcW w:w="1126" w:type="dxa"/>
            <w:tcBorders>
              <w:top w:val="single" w:sz="6" w:space="0" w:color="000000"/>
              <w:start w:val="single" w:sz="6" w:space="0" w:color="000000"/>
              <w:bottom w:val="single" w:sz="6" w:space="0" w:color="000000"/>
            </w:tcBorders>
          </w:tcPr>
          <w:p>
            <w:pPr>
              <w:pStyle w:val="Normal"/>
              <w:keepNext w:val="true"/>
              <w:widowControl/>
              <w:tabs>
                <w:tab w:val="clear" w:pos="720"/>
                <w:tab w:val="left" w:pos="-1440" w:leader="none"/>
                <w:tab w:val="left" w:pos="-720" w:leader="none"/>
              </w:tabs>
              <w:suppressAutoHyphens w:val="true"/>
              <w:spacing w:before="18" w:after="54"/>
              <w:jc w:val="center"/>
              <w:rPr/>
            </w:pPr>
            <w:r>
              <w:rPr/>
              <w:t>N/A</w:t>
            </w:r>
          </w:p>
        </w:tc>
        <w:tc>
          <w:tcPr>
            <w:tcW w:w="1126"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tabs>
                <w:tab w:val="clear" w:pos="720"/>
                <w:tab w:val="left" w:pos="-1440" w:leader="none"/>
                <w:tab w:val="left" w:pos="-720" w:leader="none"/>
              </w:tabs>
              <w:suppressAutoHyphens w:val="true"/>
              <w:spacing w:before="18" w:after="54"/>
              <w:jc w:val="center"/>
              <w:rPr/>
            </w:pPr>
            <w:r>
              <w:rPr/>
              <w:t>YES</w:t>
            </w:r>
          </w:p>
        </w:tc>
      </w:tr>
    </w:tbl>
    <w:p>
      <w:pPr>
        <w:pStyle w:val="Normal"/>
        <w:keepNext w:val="true"/>
        <w:widowControl/>
        <w:tabs>
          <w:tab w:val="clear" w:pos="720"/>
          <w:tab w:val="left" w:pos="-1440" w:leader="none"/>
          <w:tab w:val="left" w:pos="-720" w:leader="none"/>
        </w:tabs>
        <w:suppressAutoHyphens w:val="true"/>
        <w:ind w:start="1080" w:end="360"/>
        <w:rPr/>
      </w:pPr>
      <w:r>
        <w:rPr/>
      </w:r>
    </w:p>
    <w:p>
      <w:pPr>
        <w:pStyle w:val="Normal"/>
        <w:widowControl/>
        <w:tabs>
          <w:tab w:val="clear" w:pos="720"/>
          <w:tab w:val="left" w:pos="-1440" w:leader="none"/>
          <w:tab w:val="left" w:pos="-720" w:leader="none"/>
        </w:tabs>
        <w:suppressAutoHyphens w:val="true"/>
        <w:rPr/>
      </w:pPr>
      <w:r>
        <w:rPr/>
      </w:r>
    </w:p>
    <w:p>
      <w:pPr>
        <w:pStyle w:val="Normal"/>
        <w:keepNext w:val="true"/>
        <w:widowControl/>
        <w:tabs>
          <w:tab w:val="clear" w:pos="720"/>
          <w:tab w:val="left" w:pos="-1440" w:leader="none"/>
          <w:tab w:val="left" w:pos="-720" w:leader="none"/>
          <w:tab w:val="left" w:pos="0" w:leader="none"/>
        </w:tabs>
        <w:suppressAutoHyphens w:val="true"/>
        <w:ind w:hanging="720" w:start="720" w:end="0"/>
        <w:rPr/>
      </w:pPr>
      <w:r>
        <w:rPr/>
        <w:t>(e)</w:t>
      </w:r>
      <w:r>
        <w:rPr>
          <w:b/>
          <w:bCs/>
          <w:i/>
          <w:iCs/>
        </w:rPr>
        <w:tab/>
        <w:t>Substitution.</w:t>
      </w:r>
    </w:p>
    <w:p>
      <w:pPr>
        <w:pStyle w:val="Normal"/>
        <w:keepNext w:val="true"/>
        <w:widowControl/>
        <w:tabs>
          <w:tab w:val="clear" w:pos="720"/>
          <w:tab w:val="left" w:pos="-1440" w:leader="none"/>
          <w:tab w:val="left" w:pos="-720" w:leader="none"/>
        </w:tabs>
        <w:suppressAutoHyphens w:val="true"/>
        <w:rPr/>
      </w:pPr>
      <w:r>
        <w:rPr/>
      </w:r>
    </w:p>
    <w:p>
      <w:pPr>
        <w:pStyle w:val="Normal"/>
        <w:keepNext w:val="true"/>
        <w:widowControl/>
        <w:tabs>
          <w:tab w:val="clear" w:pos="720"/>
          <w:tab w:val="left" w:pos="-1440" w:leader="none"/>
          <w:tab w:val="left" w:pos="-720" w:leader="none"/>
        </w:tabs>
        <w:suppressAutoHyphens w:val="true"/>
        <w:rPr/>
      </w:pPr>
      <w:r>
        <w:rPr/>
        <w:tab/>
        <w:t>(i)  "</w:t>
      </w:r>
      <w:r>
        <w:rPr>
          <w:b/>
          <w:bCs/>
          <w:i/>
          <w:iCs/>
        </w:rPr>
        <w:t>Substitution Date</w:t>
      </w:r>
      <w:r>
        <w:rPr/>
        <w:t>" has the meaning specified in Paragraph 4(d)(ii).</w:t>
      </w:r>
    </w:p>
    <w:p>
      <w:pPr>
        <w:pStyle w:val="Normal"/>
        <w:widowControl/>
        <w:tabs>
          <w:tab w:val="clear" w:pos="720"/>
          <w:tab w:val="left" w:pos="-1440" w:leader="none"/>
          <w:tab w:val="left" w:pos="-720" w:leader="none"/>
        </w:tabs>
        <w:suppressAutoHyphens w:val="true"/>
        <w:rPr/>
      </w:pPr>
      <w:r>
        <w:rPr/>
      </w:r>
    </w:p>
    <w:p>
      <w:pPr>
        <w:pStyle w:val="Normal"/>
        <w:widowControl/>
        <w:tabs>
          <w:tab w:val="clear" w:pos="720"/>
          <w:tab w:val="left" w:pos="-1440" w:leader="none"/>
          <w:tab w:val="left" w:pos="-720" w:leader="none"/>
          <w:tab w:val="left" w:pos="0" w:leader="none"/>
        </w:tabs>
        <w:suppressAutoHyphens w:val="true"/>
        <w:ind w:hanging="720" w:start="720" w:end="0"/>
        <w:rPr/>
      </w:pPr>
      <w:r>
        <w:rPr/>
        <w:tab/>
        <w:t xml:space="preserve">(ii)  </w:t>
      </w:r>
      <w:r>
        <w:rPr>
          <w:b/>
          <w:bCs/>
          <w:i/>
          <w:iCs/>
        </w:rPr>
        <w:t>Consent.</w:t>
      </w:r>
      <w:r>
        <w:rPr/>
        <w:t xml:space="preserve">  If specified here as applicable, then the Pledgor must obtain the Secured Party’s consent for any substitution pursuant to Paragraph 4(d):  Applicable.</w:t>
      </w:r>
    </w:p>
    <w:p>
      <w:pPr>
        <w:pStyle w:val="Normal"/>
        <w:widowControl/>
        <w:tabs>
          <w:tab w:val="clear" w:pos="720"/>
          <w:tab w:val="left" w:pos="-1440" w:leader="none"/>
          <w:tab w:val="left" w:pos="-720" w:leader="none"/>
        </w:tabs>
        <w:suppressAutoHyphens w:val="true"/>
        <w:rPr/>
      </w:pPr>
      <w:r>
        <w:rPr/>
      </w:r>
    </w:p>
    <w:p>
      <w:pPr>
        <w:pStyle w:val="Normal"/>
        <w:widowControl/>
        <w:tabs>
          <w:tab w:val="clear" w:pos="720"/>
          <w:tab w:val="left" w:pos="-1440" w:leader="none"/>
          <w:tab w:val="left" w:pos="-720" w:leader="none"/>
          <w:tab w:val="left" w:pos="0" w:leader="none"/>
        </w:tabs>
        <w:suppressAutoHyphens w:val="true"/>
        <w:ind w:hanging="720" w:start="720" w:end="0"/>
        <w:rPr>
          <w:b/>
          <w:bCs/>
        </w:rPr>
      </w:pPr>
      <w:r>
        <w:rPr/>
        <w:t>(f)</w:t>
      </w:r>
      <w:r>
        <w:rPr>
          <w:b/>
          <w:bCs/>
          <w:i/>
          <w:iCs/>
        </w:rPr>
        <w:tab/>
        <w:t>(This paragraph is intentionally left blank)</w:t>
      </w:r>
    </w:p>
    <w:p>
      <w:pPr>
        <w:pStyle w:val="Normal"/>
        <w:widowControl/>
        <w:tabs>
          <w:tab w:val="clear" w:pos="720"/>
          <w:tab w:val="left" w:pos="-1440" w:leader="none"/>
          <w:tab w:val="left" w:pos="-720" w:leader="none"/>
        </w:tabs>
        <w:suppressAutoHyphens w:val="true"/>
        <w:rPr>
          <w:b/>
          <w:bCs/>
        </w:rPr>
      </w:pPr>
      <w:r>
        <w:rPr>
          <w:b/>
          <w:bCs/>
        </w:rPr>
      </w:r>
    </w:p>
    <w:p>
      <w:pPr>
        <w:pStyle w:val="Normal"/>
        <w:keepNext w:val="true"/>
        <w:widowControl/>
        <w:tabs>
          <w:tab w:val="clear" w:pos="720"/>
          <w:tab w:val="left" w:pos="-1440" w:leader="none"/>
          <w:tab w:val="left" w:pos="-720" w:leader="none"/>
          <w:tab w:val="left" w:pos="0" w:leader="none"/>
        </w:tabs>
        <w:suppressAutoHyphens w:val="true"/>
        <w:ind w:hanging="720" w:start="720" w:end="0"/>
        <w:rPr/>
      </w:pPr>
      <w:r>
        <w:rPr/>
        <w:t>(g)</w:t>
      </w:r>
      <w:r>
        <w:rPr>
          <w:b/>
          <w:bCs/>
          <w:i/>
          <w:iCs/>
        </w:rPr>
        <w:tab/>
        <w:t>Holding and Using Posted Collateral.</w:t>
      </w:r>
    </w:p>
    <w:p>
      <w:pPr>
        <w:pStyle w:val="Normal"/>
        <w:keepNext w:val="true"/>
        <w:widowControl/>
        <w:tabs>
          <w:tab w:val="clear" w:pos="720"/>
          <w:tab w:val="left" w:pos="-1440" w:leader="none"/>
          <w:tab w:val="left" w:pos="-720" w:leader="none"/>
        </w:tabs>
        <w:suppressAutoHyphens w:val="true"/>
        <w:rPr/>
      </w:pPr>
      <w:r>
        <w:rPr/>
      </w:r>
    </w:p>
    <w:p>
      <w:pPr>
        <w:pStyle w:val="Normal"/>
        <w:keepNext w:val="true"/>
        <w:widowControl/>
        <w:tabs>
          <w:tab w:val="clear" w:pos="720"/>
          <w:tab w:val="left" w:pos="-1440" w:leader="none"/>
          <w:tab w:val="left" w:pos="-720" w:leader="none"/>
          <w:tab w:val="left" w:pos="0" w:leader="none"/>
        </w:tabs>
        <w:suppressAutoHyphens w:val="true"/>
        <w:ind w:hanging="720" w:start="720" w:end="0"/>
        <w:rPr/>
      </w:pPr>
      <w:r>
        <w:rPr/>
        <w:tab/>
        <w:t xml:space="preserve">(i)  </w:t>
      </w:r>
      <w:r>
        <w:rPr>
          <w:b/>
          <w:bCs/>
          <w:i/>
          <w:iCs/>
        </w:rPr>
        <w:t xml:space="preserve">Eligibility to Hold Posted Collateral; Custodians.  </w:t>
      </w:r>
      <w:r>
        <w:rPr/>
        <w:t xml:space="preserve">Party A and its Custodian will be entitled to hold Posted Collateral pursuant to Paragraph 6(b); </w:t>
      </w:r>
      <w:r>
        <w:rPr>
          <w:i/>
          <w:iCs/>
        </w:rPr>
        <w:t>provided</w:t>
      </w:r>
      <w:r>
        <w:rPr/>
        <w:t xml:space="preserve"> that the following conditions applicable to it are satisfied:</w:t>
      </w:r>
    </w:p>
    <w:p>
      <w:pPr>
        <w:pStyle w:val="Normal"/>
        <w:keepNext w:val="true"/>
        <w:widowControl/>
        <w:tabs>
          <w:tab w:val="clear" w:pos="720"/>
          <w:tab w:val="left" w:pos="-1440" w:leader="none"/>
          <w:tab w:val="left" w:pos="-720" w:leader="none"/>
          <w:tab w:val="left" w:pos="0" w:leader="none"/>
        </w:tabs>
        <w:suppressAutoHyphens w:val="true"/>
        <w:ind w:hanging="720" w:start="720" w:end="0"/>
        <w:rPr/>
      </w:pPr>
      <w:r>
        <w:rPr/>
      </w:r>
    </w:p>
    <w:p>
      <w:pPr>
        <w:pStyle w:val="Normal"/>
        <w:keepNext w:val="true"/>
        <w:widowControl/>
        <w:numPr>
          <w:ilvl w:val="0"/>
          <w:numId w:val="3"/>
        </w:numPr>
        <w:tabs>
          <w:tab w:val="clear" w:pos="720"/>
          <w:tab w:val="left" w:pos="0" w:leader="none"/>
        </w:tabs>
        <w:suppressAutoHyphens w:val="true"/>
        <w:ind w:hanging="2160" w:start="4320" w:end="0"/>
        <w:rPr/>
      </w:pPr>
      <w:r>
        <w:rPr/>
        <w:t>Party A is not a Defaulting Party.</w:t>
      </w:r>
    </w:p>
    <w:p>
      <w:pPr>
        <w:pStyle w:val="Normal"/>
        <w:keepNext w:val="true"/>
        <w:widowControl/>
        <w:tabs>
          <w:tab w:val="clear" w:pos="720"/>
          <w:tab w:val="left" w:pos="-1440" w:leader="none"/>
          <w:tab w:val="left" w:pos="-720" w:leader="none"/>
          <w:tab w:val="left" w:pos="0" w:leader="none"/>
        </w:tabs>
        <w:suppressAutoHyphens w:val="true"/>
        <w:rPr/>
      </w:pPr>
      <w:r>
        <w:rPr/>
      </w:r>
    </w:p>
    <w:p>
      <w:pPr>
        <w:pStyle w:val="Normal"/>
        <w:keepNext w:val="true"/>
        <w:widowControl/>
        <w:numPr>
          <w:ilvl w:val="0"/>
          <w:numId w:val="4"/>
        </w:numPr>
        <w:tabs>
          <w:tab w:val="clear" w:pos="720"/>
          <w:tab w:val="left" w:pos="0" w:leader="none"/>
        </w:tabs>
        <w:suppressAutoHyphens w:val="true"/>
        <w:ind w:hanging="2160" w:start="4320" w:end="0"/>
        <w:rPr/>
      </w:pPr>
      <w:r>
        <w:rPr/>
        <w:t>Posted Collateral may be held only in the following jurisdictions:  United States.</w:t>
      </w:r>
    </w:p>
    <w:p>
      <w:pPr>
        <w:pStyle w:val="Normal"/>
        <w:keepNext w:val="true"/>
        <w:widowControl/>
        <w:tabs>
          <w:tab w:val="clear" w:pos="720"/>
          <w:tab w:val="left" w:pos="-1440" w:leader="none"/>
          <w:tab w:val="left" w:pos="-720" w:leader="none"/>
          <w:tab w:val="left" w:pos="0" w:leader="none"/>
        </w:tabs>
        <w:suppressAutoHyphens w:val="true"/>
        <w:rPr/>
      </w:pPr>
      <w:r>
        <w:rPr/>
      </w:r>
    </w:p>
    <w:p>
      <w:pPr>
        <w:pStyle w:val="Normal"/>
        <w:keepNext w:val="true"/>
        <w:widowControl/>
        <w:numPr>
          <w:ilvl w:val="0"/>
          <w:numId w:val="5"/>
        </w:numPr>
        <w:tabs>
          <w:tab w:val="clear" w:pos="720"/>
          <w:tab w:val="left" w:pos="0" w:leader="none"/>
        </w:tabs>
        <w:suppressAutoHyphens w:val="true"/>
        <w:ind w:hanging="2160" w:start="4320" w:end="0"/>
        <w:rPr/>
      </w:pPr>
      <w:r>
        <w:rPr>
          <w:strike/>
        </w:rPr>
        <w:t>[</w:t>
      </w:r>
      <w:r>
        <w:rPr/>
        <w:t xml:space="preserve">Any Custodian must </w:t>
      </w:r>
      <w:r>
        <w:rPr>
          <w:strike/>
        </w:rPr>
        <w:t>be</w:t>
      </w:r>
      <w:r>
        <w:rPr/>
        <w:t xml:space="preserve">(i) </w:t>
      </w:r>
      <w:r>
        <w:rPr>
          <w:b/>
          <w:bCs/>
          <w:u w:val="double"/>
        </w:rPr>
        <w:t>be</w:t>
      </w:r>
      <w:r>
        <w:rPr/>
        <w:t xml:space="preserve"> United States Trust Company of New York or </w:t>
      </w:r>
      <w:r>
        <w:rPr>
          <w:strike/>
        </w:rPr>
        <w:t xml:space="preserve">(ii) a trust company or commercial bank with trust powers organized under Federal or state law and </w:t>
      </w:r>
      <w:r>
        <w:rPr>
          <w:b/>
          <w:bCs/>
          <w:u w:val="double"/>
        </w:rPr>
        <w:t>the New York branch of an OECD country bank, (ii) have a long-term senior unsecured debt rating or issuer rating of "A+" by Standard &amp; Poor's and "A1" by Moody's, (iii) have</w:t>
      </w:r>
      <w:r>
        <w:rPr/>
        <w:t xml:space="preserve"> a combined capital and surplus of at least </w:t>
      </w:r>
      <w:r>
        <w:rPr>
          <w:strike/>
        </w:rPr>
        <w:t>U.S.$150,000,000.]</w:t>
      </w:r>
      <w:r>
        <w:rPr/>
        <w:t xml:space="preserve"> </w:t>
      </w:r>
      <w:r>
        <w:rPr>
          <w:b/>
          <w:bCs/>
          <w:u w:val="double"/>
        </w:rPr>
        <w:t>U.S.$5,000,000,000 and (iv) be approved by Party B.</w:t>
      </w:r>
    </w:p>
    <w:p>
      <w:pPr>
        <w:pStyle w:val="Normal"/>
        <w:keepNext w:val="true"/>
        <w:widowControl/>
        <w:tabs>
          <w:tab w:val="clear" w:pos="720"/>
          <w:tab w:val="left" w:pos="-1440" w:leader="none"/>
          <w:tab w:val="left" w:pos="-720" w:leader="none"/>
          <w:tab w:val="left" w:pos="0" w:leader="none"/>
        </w:tabs>
        <w:suppressAutoHyphens w:val="true"/>
        <w:rPr/>
      </w:pPr>
      <w:r>
        <w:rPr/>
      </w:r>
    </w:p>
    <w:p>
      <w:pPr>
        <w:pStyle w:val="Normal"/>
        <w:keepNext w:val="true"/>
        <w:widowControl/>
        <w:tabs>
          <w:tab w:val="clear" w:pos="720"/>
          <w:tab w:val="left" w:pos="-1440" w:leader="none"/>
          <w:tab w:val="left" w:pos="-720" w:leader="none"/>
          <w:tab w:val="left" w:pos="0" w:leader="none"/>
        </w:tabs>
        <w:suppressAutoHyphens w:val="true"/>
        <w:ind w:start="1440" w:end="0"/>
        <w:rPr/>
      </w:pPr>
      <w:r>
        <w:rPr/>
        <w:t xml:space="preserve">Initially, the </w:t>
      </w:r>
      <w:r>
        <w:rPr>
          <w:b/>
          <w:bCs/>
        </w:rPr>
        <w:t>Custodian</w:t>
      </w:r>
      <w:r>
        <w:rPr/>
        <w:t xml:space="preserve"> for Party A is:  None.</w:t>
      </w:r>
    </w:p>
    <w:p>
      <w:pPr>
        <w:pStyle w:val="Normal"/>
        <w:keepNext w:val="true"/>
        <w:widowControl/>
        <w:tabs>
          <w:tab w:val="clear" w:pos="720"/>
          <w:tab w:val="left" w:pos="-1440" w:leader="none"/>
          <w:tab w:val="left" w:pos="-720" w:leader="none"/>
          <w:tab w:val="left" w:pos="0" w:leader="none"/>
        </w:tabs>
        <w:suppressAutoHyphens w:val="true"/>
        <w:ind w:hanging="720" w:start="720" w:end="0"/>
        <w:rPr/>
      </w:pPr>
      <w:r>
        <w:rPr/>
      </w:r>
    </w:p>
    <w:p>
      <w:pPr>
        <w:pStyle w:val="Normal"/>
        <w:widowControl/>
        <w:tabs>
          <w:tab w:val="clear" w:pos="720"/>
          <w:tab w:val="left" w:pos="-1440" w:leader="none"/>
          <w:tab w:val="left" w:pos="-720" w:leader="none"/>
          <w:tab w:val="left" w:pos="0" w:leader="none"/>
        </w:tabs>
        <w:suppressAutoHyphens w:val="true"/>
        <w:ind w:hanging="720" w:start="720" w:end="0"/>
        <w:rPr/>
      </w:pPr>
      <w:r>
        <w:rPr/>
        <w:tab/>
        <w:t xml:space="preserve">(ii)  </w:t>
      </w:r>
      <w:r>
        <w:rPr>
          <w:b/>
          <w:bCs/>
          <w:i/>
          <w:iCs/>
        </w:rPr>
        <w:t>Use of Posted Collateral.</w:t>
      </w:r>
      <w:r>
        <w:rPr/>
        <w:t xml:space="preserve">  The provisions of Paragraph 6(c)(i) will apply. </w:t>
      </w:r>
    </w:p>
    <w:p>
      <w:pPr>
        <w:pStyle w:val="Normal"/>
        <w:keepNext w:val="true"/>
        <w:widowControl/>
        <w:tabs>
          <w:tab w:val="clear" w:pos="720"/>
          <w:tab w:val="left" w:pos="-1440" w:leader="none"/>
          <w:tab w:val="left" w:pos="-720" w:leader="none"/>
        </w:tabs>
        <w:suppressAutoHyphens w:val="true"/>
        <w:rPr/>
      </w:pPr>
      <w:r>
        <w:rPr/>
      </w:r>
    </w:p>
    <w:p>
      <w:pPr>
        <w:pStyle w:val="Normal"/>
        <w:widowControl/>
        <w:tabs>
          <w:tab w:val="clear" w:pos="720"/>
          <w:tab w:val="left" w:pos="-1440" w:leader="none"/>
          <w:tab w:val="left" w:pos="-720" w:leader="none"/>
          <w:tab w:val="left" w:pos="0" w:leader="none"/>
        </w:tabs>
        <w:suppressAutoHyphens w:val="true"/>
        <w:ind w:hanging="720" w:start="720" w:end="0"/>
        <w:rPr/>
      </w:pPr>
      <w:r>
        <w:rPr/>
        <w:t>(h)</w:t>
      </w:r>
      <w:r>
        <w:rPr>
          <w:b/>
          <w:bCs/>
          <w:i/>
          <w:iCs/>
        </w:rPr>
        <w:tab/>
        <w:t xml:space="preserve">Distributions and Interest Amount.  </w:t>
      </w:r>
    </w:p>
    <w:p>
      <w:pPr>
        <w:pStyle w:val="Normal"/>
        <w:widowControl/>
        <w:tabs>
          <w:tab w:val="clear" w:pos="720"/>
          <w:tab w:val="left" w:pos="-1440" w:leader="none"/>
          <w:tab w:val="left" w:pos="-720" w:leader="none"/>
          <w:tab w:val="left" w:pos="0" w:leader="none"/>
        </w:tabs>
        <w:suppressAutoHyphens w:val="true"/>
        <w:ind w:hanging="720" w:start="720" w:end="0"/>
        <w:rPr>
          <w:b/>
          <w:bCs/>
          <w:i/>
          <w:i/>
          <w:iCs/>
        </w:rPr>
      </w:pPr>
      <w:r>
        <w:rPr>
          <w:b/>
          <w:bCs/>
          <w:i/>
          <w:iCs/>
        </w:rPr>
      </w:r>
    </w:p>
    <w:p>
      <w:pPr>
        <w:pStyle w:val="Normal"/>
        <w:widowControl/>
        <w:ind w:start="720" w:end="0"/>
        <w:rPr/>
      </w:pPr>
      <w:r>
        <w:rPr/>
        <w:t xml:space="preserve">(i)  </w:t>
      </w:r>
      <w:r>
        <w:rPr>
          <w:b/>
          <w:bCs/>
          <w:i/>
          <w:iCs/>
        </w:rPr>
        <w:t xml:space="preserve">Interest Rate.  </w:t>
      </w:r>
      <w:r>
        <w:rPr/>
        <w:t>The "</w:t>
      </w:r>
      <w:r>
        <w:rPr>
          <w:b/>
          <w:bCs/>
          <w:i/>
          <w:iCs/>
        </w:rPr>
        <w:t>Interest Rate</w:t>
      </w:r>
      <w:r>
        <w:rPr/>
        <w:t>" will be the Federal Funds Rate minus 25 basis points.  "</w:t>
      </w:r>
      <w:r>
        <w:rPr>
          <w:b/>
          <w:bCs/>
          <w:i/>
          <w:iCs/>
        </w:rPr>
        <w:t>Federal Funds Rate</w:t>
      </w:r>
      <w:r>
        <w:rPr/>
        <w:t>" means, for any day, the rate set forth in H.15(519) for that day opposite the caption "Federal Funds (Effective)".  If on any day such rate is not yet published in H.15(519), the rate for such day will be the rate set forth in Composite 3:30 p.m. Quotations for U.S. Government Securities for that day under the caption "Federal Funds/Effective Rate".  If on any day the appropriate rate for such day is not yet published in either H.15(519) or Composite 3:30 P.M. Quotations for U.S. Government Securities, the rate for such day will be the arithmetic mean of the rates for the last transaction in overnight U.S. Dollar Federal funds arranged by three leading brokers of U.S. Dollar Federal funds transactions in New York City selected by Citibank in good faith prior to 9:00 a.m., New York City time, on such day.  "</w:t>
      </w:r>
      <w:r>
        <w:rPr>
          <w:b/>
          <w:bCs/>
          <w:i/>
          <w:iCs/>
        </w:rPr>
        <w:t>H.15(519)</w:t>
      </w:r>
      <w:r>
        <w:rPr/>
        <w:t>" means the weekly statistical release designated as such, or any successor publication, published by the Board of Governors of the Federal Reserve System.  "</w:t>
      </w:r>
      <w:r>
        <w:rPr>
          <w:b/>
          <w:bCs/>
          <w:i/>
          <w:iCs/>
        </w:rPr>
        <w:t>Composite 3:30 P.M. Quotations for U.S. Government Securities</w:t>
      </w:r>
      <w:r>
        <w:rPr/>
        <w:t>" means the daily statistical release designated as such, or any successor publication, published by the Federal Reserve Bank of New York.</w:t>
      </w:r>
    </w:p>
    <w:p>
      <w:pPr>
        <w:pStyle w:val="Normal"/>
        <w:widowControl/>
        <w:tabs>
          <w:tab w:val="clear" w:pos="720"/>
          <w:tab w:val="left" w:pos="-1440" w:leader="none"/>
          <w:tab w:val="left" w:pos="-720" w:leader="none"/>
          <w:tab w:val="left" w:pos="0" w:leader="none"/>
        </w:tabs>
        <w:suppressAutoHyphens w:val="true"/>
        <w:ind w:hanging="720" w:start="720" w:end="0"/>
        <w:rPr/>
      </w:pPr>
      <w:r>
        <w:rPr/>
      </w:r>
    </w:p>
    <w:p>
      <w:pPr>
        <w:pStyle w:val="Normal"/>
        <w:widowControl/>
        <w:numPr>
          <w:ilvl w:val="0"/>
          <w:numId w:val="6"/>
        </w:numPr>
        <w:tabs>
          <w:tab w:val="clear" w:pos="720"/>
          <w:tab w:val="left" w:pos="0" w:leader="none"/>
        </w:tabs>
        <w:suppressAutoHyphens w:val="true"/>
        <w:ind w:hanging="1440" w:start="2160" w:end="0"/>
        <w:rPr/>
      </w:pPr>
      <w:r>
        <w:rPr>
          <w:b/>
          <w:bCs/>
          <w:i/>
          <w:iCs/>
        </w:rPr>
        <w:t>Transfer of Interest Amount.</w:t>
      </w:r>
      <w:r>
        <w:rPr/>
        <w:t xml:space="preserve">  The Transfer of the Interest Amount will be made on the </w:t>
      </w:r>
      <w:r>
        <w:rPr>
          <w:strike/>
        </w:rPr>
        <w:t>last Local Business Day</w:t>
      </w:r>
      <w:r>
        <w:rPr/>
        <w:t xml:space="preserve"> </w:t>
      </w:r>
      <w:r>
        <w:rPr>
          <w:b/>
          <w:bCs/>
          <w:u w:val="double"/>
        </w:rPr>
        <w:t>20</w:t>
      </w:r>
      <w:r>
        <w:rPr>
          <w:b/>
          <w:bCs/>
          <w:u w:val="double"/>
          <w:vertAlign w:val="superscript"/>
        </w:rPr>
        <w:t>th</w:t>
      </w:r>
      <w:r>
        <w:rPr/>
        <w:t xml:space="preserve"> </w:t>
      </w:r>
      <w:r>
        <w:rPr>
          <w:b/>
          <w:bCs/>
          <w:u w:val="double"/>
        </w:rPr>
        <w:t>day</w:t>
      </w:r>
      <w:r>
        <w:rPr/>
        <w:t xml:space="preserve"> of each calendar month </w:t>
      </w:r>
      <w:r>
        <w:rPr>
          <w:b/>
          <w:bCs/>
          <w:u w:val="double"/>
        </w:rPr>
        <w:t>(subject to the Business Day Convention specified in the Confirmation dated as of August 25, 2000)</w:t>
      </w:r>
      <w:r>
        <w:rPr/>
        <w:t>.</w:t>
      </w:r>
    </w:p>
    <w:p>
      <w:pPr>
        <w:pStyle w:val="Normal"/>
        <w:widowControl/>
        <w:tabs>
          <w:tab w:val="clear" w:pos="720"/>
          <w:tab w:val="left" w:pos="-720" w:leader="none"/>
          <w:tab w:val="left" w:pos="0" w:leader="none"/>
        </w:tabs>
        <w:suppressAutoHyphens w:val="true"/>
        <w:jc w:val="both"/>
        <w:rPr>
          <w:b/>
          <w:bCs/>
          <w:i/>
          <w:i/>
          <w:iCs/>
        </w:rPr>
      </w:pPr>
      <w:r>
        <w:rPr>
          <w:b/>
          <w:bCs/>
          <w:i/>
          <w:iCs/>
        </w:rPr>
      </w:r>
    </w:p>
    <w:p>
      <w:pPr>
        <w:pStyle w:val="Normal"/>
        <w:widowControl/>
        <w:tabs>
          <w:tab w:val="clear" w:pos="720"/>
          <w:tab w:val="left" w:pos="-720" w:leader="none"/>
          <w:tab w:val="left" w:pos="0" w:leader="none"/>
        </w:tabs>
        <w:suppressAutoHyphens w:val="true"/>
        <w:jc w:val="both"/>
        <w:rPr/>
      </w:pPr>
      <w:r>
        <w:rPr>
          <w:b/>
          <w:bCs/>
          <w:i/>
          <w:iCs/>
        </w:rPr>
        <w:tab/>
      </w:r>
      <w:r>
        <w:rPr/>
        <w:t>(iii)</w:t>
        <w:tab/>
      </w:r>
      <w:r>
        <w:rPr>
          <w:b/>
          <w:bCs/>
          <w:i/>
          <w:iCs/>
        </w:rPr>
        <w:t xml:space="preserve">Alternative to Interest Amount.  </w:t>
      </w:r>
      <w:r>
        <w:rPr/>
        <w:t>The provisions of Paragraph 6(d)(ii) will apply.</w:t>
      </w:r>
    </w:p>
    <w:p>
      <w:pPr>
        <w:pStyle w:val="Normal"/>
        <w:widowControl/>
        <w:tabs>
          <w:tab w:val="clear" w:pos="720"/>
          <w:tab w:val="left" w:pos="-1440" w:leader="none"/>
          <w:tab w:val="left" w:pos="-720" w:leader="none"/>
          <w:tab w:val="left" w:pos="0" w:leader="none"/>
        </w:tabs>
        <w:suppressAutoHyphens w:val="true"/>
        <w:rPr/>
      </w:pPr>
      <w:r>
        <w:rPr/>
      </w:r>
    </w:p>
    <w:p>
      <w:pPr>
        <w:pStyle w:val="Normal"/>
        <w:widowControl/>
        <w:tabs>
          <w:tab w:val="clear" w:pos="720"/>
          <w:tab w:val="left" w:pos="-1440" w:leader="none"/>
          <w:tab w:val="left" w:pos="-720" w:leader="none"/>
          <w:tab w:val="left" w:pos="0" w:leader="none"/>
        </w:tabs>
        <w:suppressAutoHyphens w:val="true"/>
        <w:ind w:hanging="720" w:start="720" w:end="0"/>
        <w:rPr/>
      </w:pPr>
      <w:r>
        <w:rPr/>
      </w:r>
    </w:p>
    <w:p>
      <w:pPr>
        <w:pStyle w:val="Normal"/>
        <w:widowControl/>
        <w:tabs>
          <w:tab w:val="clear" w:pos="720"/>
          <w:tab w:val="left" w:pos="-1440" w:leader="none"/>
          <w:tab w:val="left" w:pos="-720" w:leader="none"/>
          <w:tab w:val="left" w:pos="0" w:leader="none"/>
        </w:tabs>
        <w:suppressAutoHyphens w:val="true"/>
        <w:ind w:hanging="720" w:start="720" w:end="0"/>
        <w:rPr/>
      </w:pPr>
      <w:r>
        <w:rPr/>
        <w:t>(i)</w:t>
      </w:r>
      <w:r>
        <w:rPr>
          <w:b/>
          <w:bCs/>
          <w:i/>
          <w:iCs/>
        </w:rPr>
        <w:tab/>
        <w:t xml:space="preserve">Additional Representation(s).  </w:t>
      </w:r>
      <w:r>
        <w:rPr/>
        <w:t>None.</w:t>
      </w:r>
    </w:p>
    <w:p>
      <w:pPr>
        <w:pStyle w:val="Normal"/>
        <w:keepNext w:val="true"/>
        <w:widowControl/>
        <w:tabs>
          <w:tab w:val="clear" w:pos="720"/>
          <w:tab w:val="left" w:pos="-1440" w:leader="none"/>
          <w:tab w:val="left" w:pos="-720" w:leader="none"/>
        </w:tabs>
        <w:suppressAutoHyphens w:val="true"/>
        <w:rPr/>
      </w:pPr>
      <w:r>
        <w:rPr/>
      </w:r>
    </w:p>
    <w:p>
      <w:pPr>
        <w:pStyle w:val="Normal"/>
        <w:keepNext w:val="true"/>
        <w:widowControl/>
        <w:numPr>
          <w:ilvl w:val="0"/>
          <w:numId w:val="7"/>
        </w:numPr>
        <w:tabs>
          <w:tab w:val="clear" w:pos="720"/>
          <w:tab w:val="left" w:pos="0" w:leader="none"/>
        </w:tabs>
        <w:suppressAutoHyphens w:val="true"/>
        <w:ind w:hanging="720" w:start="1440" w:end="0"/>
        <w:rPr>
          <w:b/>
          <w:bCs/>
          <w:i/>
          <w:i/>
          <w:iCs/>
        </w:rPr>
      </w:pPr>
      <w:r>
        <w:rPr>
          <w:b/>
          <w:bCs/>
          <w:i/>
          <w:iCs/>
        </w:rPr>
        <w:t>Other Eligible Support and Other Posted Support.</w:t>
      </w:r>
      <w:r>
        <w:rPr/>
        <w:t xml:space="preserve">  </w:t>
      </w:r>
      <w:r>
        <w:rPr>
          <w:b/>
          <w:bCs/>
          <w:u w:val="double"/>
        </w:rPr>
        <w:t>None.</w:t>
      </w:r>
      <w:r>
        <w:rPr>
          <w:b/>
          <w:bCs/>
          <w:i/>
          <w:iCs/>
          <w:strike/>
        </w:rPr>
        <w:t>(i) "Value" with respect to Other Eligible Support and Other Posted Support, means the amount then available to be unconditionally drawn upon by the Secured Party (subject only to the conditions to drawing specified in the letter of credit documentation).(ii) "Transfer" with respect to Other Eligible Support and Other Posted Support, means the creation of an unconditional right of the Secured Party for whose benefit the letter of credit is established to draw upon that letter of credit (subject only to the conditions to drawing specified in the letter of credit documentation).</w:t>
      </w:r>
    </w:p>
    <w:p>
      <w:pPr>
        <w:pStyle w:val="Normal"/>
        <w:keepNext w:val="true"/>
        <w:widowControl/>
        <w:tabs>
          <w:tab w:val="clear" w:pos="720"/>
          <w:tab w:val="left" w:pos="-1440" w:leader="none"/>
          <w:tab w:val="left" w:pos="-720" w:leader="none"/>
          <w:tab w:val="left" w:pos="0" w:leader="none"/>
        </w:tabs>
        <w:suppressAutoHyphens w:val="true"/>
        <w:rPr>
          <w:b/>
          <w:bCs/>
          <w:i/>
          <w:i/>
          <w:iCs/>
        </w:rPr>
      </w:pPr>
      <w:r>
        <w:rPr>
          <w:b/>
          <w:bCs/>
          <w:i/>
          <w:iCs/>
        </w:rPr>
      </w:r>
    </w:p>
    <w:p>
      <w:pPr>
        <w:pStyle w:val="Normal"/>
        <w:widowControl/>
        <w:tabs>
          <w:tab w:val="clear" w:pos="720"/>
          <w:tab w:val="left" w:pos="-1440" w:leader="none"/>
          <w:tab w:val="left" w:pos="-720" w:leader="none"/>
          <w:tab w:val="left" w:pos="0" w:leader="none"/>
        </w:tabs>
        <w:suppressAutoHyphens w:val="true"/>
        <w:ind w:hanging="720" w:start="720" w:end="0"/>
        <w:rPr/>
      </w:pPr>
      <w:r>
        <w:rPr/>
        <w:t>(k)</w:t>
      </w:r>
      <w:r>
        <w:rPr>
          <w:b/>
          <w:bCs/>
          <w:i/>
          <w:iCs/>
        </w:rPr>
        <w:tab/>
        <w:t>Demands and Notices.</w:t>
      </w:r>
    </w:p>
    <w:p>
      <w:pPr>
        <w:pStyle w:val="Normal"/>
        <w:widowControl/>
        <w:tabs>
          <w:tab w:val="clear" w:pos="720"/>
          <w:tab w:val="left" w:pos="-1440" w:leader="none"/>
          <w:tab w:val="left" w:pos="-720" w:leader="none"/>
        </w:tabs>
        <w:suppressAutoHyphens w:val="true"/>
        <w:rPr/>
      </w:pPr>
      <w:r>
        <w:rPr/>
      </w:r>
    </w:p>
    <w:p>
      <w:pPr>
        <w:pStyle w:val="Normal"/>
        <w:widowControl/>
        <w:tabs>
          <w:tab w:val="clear" w:pos="720"/>
          <w:tab w:val="left" w:pos="-1440" w:leader="none"/>
          <w:tab w:val="left" w:pos="-720" w:leader="none"/>
          <w:tab w:val="left" w:pos="0" w:leader="none"/>
        </w:tabs>
        <w:suppressAutoHyphens w:val="true"/>
        <w:ind w:hanging="720" w:start="720" w:end="0"/>
        <w:rPr/>
      </w:pPr>
      <w:r>
        <w:rPr/>
        <w:tab/>
        <w:t>All demands, specifications and notices under this Annex will be made pursuant to the Notices Section of this Agreement, unless otherwise specified here:</w:t>
      </w:r>
    </w:p>
    <w:p>
      <w:pPr>
        <w:pStyle w:val="Normal"/>
        <w:widowControl/>
        <w:rPr/>
      </w:pPr>
      <w:r>
        <w:rPr/>
      </w:r>
    </w:p>
    <w:p>
      <w:pPr>
        <w:pStyle w:val="Normal"/>
        <w:widowControl/>
        <w:tabs>
          <w:tab w:val="clear" w:pos="720"/>
          <w:tab w:val="left" w:pos="-720" w:leader="none"/>
          <w:tab w:val="left" w:pos="0" w:leader="none"/>
        </w:tabs>
        <w:suppressAutoHyphens w:val="true"/>
        <w:ind w:hanging="720" w:start="720" w:end="0"/>
        <w:jc w:val="both"/>
        <w:rPr/>
      </w:pPr>
      <w:r>
        <w:rPr/>
        <w:tab/>
        <w:t>Party A:</w:t>
        <w:tab/>
        <w:tab/>
        <w:t xml:space="preserve">As set forth in the Confirmation dated as of August 25, 2000. </w:t>
      </w:r>
    </w:p>
    <w:p>
      <w:pPr>
        <w:pStyle w:val="Normal"/>
        <w:widowControl/>
        <w:tabs>
          <w:tab w:val="clear" w:pos="720"/>
          <w:tab w:val="left" w:pos="-720" w:leader="none"/>
        </w:tabs>
        <w:suppressAutoHyphens w:val="true"/>
        <w:jc w:val="both"/>
        <w:rPr/>
      </w:pPr>
      <w:r>
        <w:rPr/>
      </w:r>
    </w:p>
    <w:p>
      <w:pPr>
        <w:pStyle w:val="Normal"/>
        <w:widowControl/>
        <w:tabs>
          <w:tab w:val="clear" w:pos="720"/>
          <w:tab w:val="left" w:pos="-720" w:leader="none"/>
          <w:tab w:val="left" w:pos="0" w:leader="none"/>
        </w:tabs>
        <w:suppressAutoHyphens w:val="true"/>
        <w:ind w:hanging="720" w:start="720" w:end="0"/>
        <w:jc w:val="both"/>
        <w:rPr/>
      </w:pPr>
      <w:r>
        <w:rPr/>
        <w:tab/>
        <w:t>Party B:</w:t>
        <w:tab/>
        <w:tab/>
        <w:t>As set forth in the Confirmation dated as of August 25, 2000 and with a copy to:</w:t>
      </w:r>
    </w:p>
    <w:p>
      <w:pPr>
        <w:pStyle w:val="Normal"/>
        <w:widowControl/>
        <w:tabs>
          <w:tab w:val="clear" w:pos="720"/>
          <w:tab w:val="left" w:pos="-720" w:leader="none"/>
          <w:tab w:val="left" w:pos="0" w:leader="none"/>
        </w:tabs>
        <w:suppressAutoHyphens w:val="true"/>
        <w:ind w:hanging="720" w:start="720" w:end="0"/>
        <w:jc w:val="both"/>
        <w:rPr/>
      </w:pPr>
      <w:r>
        <w:rPr/>
      </w:r>
    </w:p>
    <w:p>
      <w:pPr>
        <w:pStyle w:val="Normal"/>
        <w:widowControl/>
        <w:tabs>
          <w:tab w:val="clear" w:pos="720"/>
          <w:tab w:val="left" w:pos="-720" w:leader="none"/>
          <w:tab w:val="left" w:pos="0" w:leader="none"/>
        </w:tabs>
        <w:suppressAutoHyphens w:val="true"/>
        <w:ind w:hanging="720" w:start="720" w:end="0"/>
        <w:jc w:val="both"/>
        <w:rPr/>
      </w:pPr>
      <w:r>
        <w:rPr/>
        <w:tab/>
        <w:tab/>
        <w:tab/>
        <w:t>United States Trust Company of New York</w:t>
      </w:r>
    </w:p>
    <w:p>
      <w:pPr>
        <w:pStyle w:val="Normal"/>
        <w:widowControl/>
        <w:tabs>
          <w:tab w:val="clear" w:pos="720"/>
          <w:tab w:val="left" w:pos="-720" w:leader="none"/>
          <w:tab w:val="left" w:pos="0" w:leader="none"/>
        </w:tabs>
        <w:suppressAutoHyphens w:val="true"/>
        <w:ind w:hanging="720" w:start="720" w:end="0"/>
        <w:jc w:val="both"/>
        <w:rPr/>
      </w:pPr>
      <w:r>
        <w:rPr/>
        <w:tab/>
        <w:tab/>
        <w:tab/>
        <w:t>114 West 47</w:t>
      </w:r>
      <w:r>
        <w:rPr>
          <w:vertAlign w:val="superscript"/>
        </w:rPr>
        <w:t>th</w:t>
      </w:r>
      <w:r>
        <w:rPr/>
        <w:t xml:space="preserve"> Street, 25</w:t>
      </w:r>
      <w:r>
        <w:rPr>
          <w:vertAlign w:val="superscript"/>
        </w:rPr>
        <w:t>th</w:t>
      </w:r>
      <w:r>
        <w:rPr/>
        <w:t xml:space="preserve"> Floor</w:t>
      </w:r>
    </w:p>
    <w:p>
      <w:pPr>
        <w:pStyle w:val="Normal"/>
        <w:widowControl/>
        <w:tabs>
          <w:tab w:val="clear" w:pos="720"/>
          <w:tab w:val="left" w:pos="-720" w:leader="none"/>
          <w:tab w:val="left" w:pos="0" w:leader="none"/>
        </w:tabs>
        <w:suppressAutoHyphens w:val="true"/>
        <w:ind w:hanging="720" w:start="720" w:end="0"/>
        <w:jc w:val="both"/>
        <w:rPr/>
      </w:pPr>
      <w:r>
        <w:rPr/>
        <w:tab/>
        <w:tab/>
        <w:tab/>
        <w:t>New York, New York  10036</w:t>
      </w:r>
    </w:p>
    <w:p>
      <w:pPr>
        <w:pStyle w:val="Normal"/>
        <w:widowControl/>
        <w:tabs>
          <w:tab w:val="clear" w:pos="720"/>
          <w:tab w:val="left" w:pos="-720" w:leader="none"/>
          <w:tab w:val="left" w:pos="0" w:leader="none"/>
        </w:tabs>
        <w:suppressAutoHyphens w:val="true"/>
        <w:ind w:hanging="720" w:start="720" w:end="0"/>
        <w:jc w:val="both"/>
        <w:rPr/>
      </w:pPr>
      <w:r>
        <w:rPr/>
        <w:tab/>
        <w:tab/>
        <w:tab/>
        <w:t>Attention:  Corporate Trust—Structured Products</w:t>
      </w:r>
    </w:p>
    <w:p>
      <w:pPr>
        <w:pStyle w:val="Normal"/>
        <w:widowControl/>
        <w:rPr/>
      </w:pPr>
      <w:r>
        <w:rPr/>
      </w:r>
    </w:p>
    <w:p>
      <w:pPr>
        <w:pStyle w:val="Normal"/>
        <w:keepNext w:val="true"/>
        <w:keepLines/>
        <w:widowControl/>
        <w:tabs>
          <w:tab w:val="clear" w:pos="720"/>
          <w:tab w:val="left" w:pos="-1440" w:leader="none"/>
          <w:tab w:val="left" w:pos="-720" w:leader="none"/>
          <w:tab w:val="left" w:pos="0" w:leader="none"/>
        </w:tabs>
        <w:suppressAutoHyphens w:val="true"/>
        <w:ind w:hanging="720" w:start="720" w:end="0"/>
        <w:rPr/>
      </w:pPr>
      <w:r>
        <w:rPr/>
        <w:t>(l)</w:t>
      </w:r>
      <w:r>
        <w:rPr>
          <w:b/>
          <w:bCs/>
          <w:i/>
          <w:iCs/>
        </w:rPr>
        <w:tab/>
        <w:t>Addresses for Transfers.</w:t>
      </w:r>
    </w:p>
    <w:p>
      <w:pPr>
        <w:pStyle w:val="Normal"/>
        <w:keepNext w:val="true"/>
        <w:keepLines/>
        <w:widowControl/>
        <w:tabs>
          <w:tab w:val="clear" w:pos="720"/>
          <w:tab w:val="left" w:pos="-1440" w:leader="none"/>
          <w:tab w:val="left" w:pos="-720" w:leader="none"/>
        </w:tabs>
        <w:suppressAutoHyphens w:val="true"/>
        <w:rPr/>
      </w:pPr>
      <w:r>
        <w:rPr/>
      </w:r>
    </w:p>
    <w:p>
      <w:pPr>
        <w:pStyle w:val="BodyText2"/>
        <w:widowControl/>
        <w:jc w:val="both"/>
        <w:rPr>
          <w:sz w:val="20"/>
          <w:szCs w:val="20"/>
        </w:rPr>
      </w:pPr>
      <w:r>
        <w:rPr>
          <w:sz w:val="20"/>
          <w:szCs w:val="20"/>
        </w:rPr>
        <w:t>Party A:</w:t>
        <w:tab/>
        <w:t xml:space="preserve">As set forth in demands and notices from one party to the other party from time to time. </w:t>
      </w:r>
    </w:p>
    <w:p>
      <w:pPr>
        <w:pStyle w:val="Normal"/>
        <w:widowControl/>
        <w:tabs>
          <w:tab w:val="clear" w:pos="720"/>
          <w:tab w:val="left" w:pos="-720" w:leader="none"/>
        </w:tabs>
        <w:suppressAutoHyphens w:val="true"/>
        <w:jc w:val="both"/>
        <w:rPr>
          <w:sz w:val="20"/>
          <w:szCs w:val="20"/>
        </w:rPr>
      </w:pPr>
      <w:r>
        <w:rPr>
          <w:sz w:val="20"/>
          <w:szCs w:val="20"/>
        </w:rPr>
      </w:r>
    </w:p>
    <w:p>
      <w:pPr>
        <w:pStyle w:val="Normal"/>
        <w:widowControl/>
        <w:tabs>
          <w:tab w:val="clear" w:pos="720"/>
          <w:tab w:val="left" w:pos="-720" w:leader="none"/>
        </w:tabs>
        <w:suppressAutoHyphens w:val="true"/>
        <w:jc w:val="both"/>
        <w:rPr/>
      </w:pPr>
      <w:r>
        <w:rPr/>
        <w:tab/>
        <w:t>Party B:</w:t>
        <w:tab/>
        <w:tab/>
        <w:t>Chase Manhattan Bank</w:t>
      </w:r>
    </w:p>
    <w:p>
      <w:pPr>
        <w:pStyle w:val="Normal"/>
        <w:widowControl/>
        <w:tabs>
          <w:tab w:val="clear" w:pos="720"/>
          <w:tab w:val="left" w:pos="-720" w:leader="none"/>
        </w:tabs>
        <w:suppressAutoHyphens w:val="true"/>
        <w:jc w:val="both"/>
        <w:rPr/>
      </w:pPr>
      <w:r>
        <w:rPr/>
        <w:t xml:space="preserve">          </w:t>
      </w:r>
      <w:r>
        <w:rPr/>
        <w:tab/>
        <w:tab/>
        <w:tab/>
        <w:t>ABA # 021000021</w:t>
      </w:r>
    </w:p>
    <w:p>
      <w:pPr>
        <w:pStyle w:val="Normal"/>
        <w:widowControl/>
        <w:tabs>
          <w:tab w:val="clear" w:pos="720"/>
          <w:tab w:val="left" w:pos="-720" w:leader="none"/>
        </w:tabs>
        <w:suppressAutoHyphens w:val="true"/>
        <w:jc w:val="both"/>
        <w:rPr/>
      </w:pPr>
      <w:r>
        <w:rPr/>
        <w:t xml:space="preserve">          </w:t>
      </w:r>
      <w:r>
        <w:rPr/>
        <w:tab/>
        <w:tab/>
        <w:tab/>
        <w:t>A/C = 920-1-073195</w:t>
      </w:r>
    </w:p>
    <w:p>
      <w:pPr>
        <w:pStyle w:val="Normal"/>
        <w:widowControl/>
        <w:tabs>
          <w:tab w:val="clear" w:pos="720"/>
          <w:tab w:val="left" w:pos="-720" w:leader="none"/>
        </w:tabs>
        <w:suppressAutoHyphens w:val="true"/>
        <w:jc w:val="both"/>
        <w:rPr/>
      </w:pPr>
      <w:r>
        <w:rPr/>
        <w:t xml:space="preserve">          </w:t>
      </w:r>
      <w:r>
        <w:rPr/>
        <w:tab/>
        <w:tab/>
        <w:tab/>
        <w:t>BBK = U S Trust Company</w:t>
      </w:r>
    </w:p>
    <w:p>
      <w:pPr>
        <w:pStyle w:val="Normal"/>
        <w:widowControl/>
        <w:tabs>
          <w:tab w:val="clear" w:pos="720"/>
          <w:tab w:val="left" w:pos="-720" w:leader="none"/>
        </w:tabs>
        <w:suppressAutoHyphens w:val="true"/>
        <w:jc w:val="both"/>
        <w:rPr/>
      </w:pPr>
      <w:r>
        <w:rPr/>
        <w:t xml:space="preserve">          </w:t>
      </w:r>
      <w:r>
        <w:rPr/>
        <w:tab/>
        <w:tab/>
        <w:tab/>
        <w:t>Further credit to A/C # 04968100</w:t>
      </w:r>
    </w:p>
    <w:p>
      <w:pPr>
        <w:pStyle w:val="Normal"/>
        <w:widowControl/>
        <w:tabs>
          <w:tab w:val="clear" w:pos="720"/>
          <w:tab w:val="left" w:pos="-720" w:leader="none"/>
        </w:tabs>
        <w:suppressAutoHyphens w:val="true"/>
        <w:jc w:val="both"/>
        <w:rPr/>
      </w:pPr>
      <w:r>
        <w:rPr/>
        <w:t xml:space="preserve">          </w:t>
      </w:r>
      <w:r>
        <w:rPr/>
        <w:tab/>
        <w:tab/>
        <w:tab/>
        <w:t>BNF = Delta Collateral Account</w:t>
      </w:r>
    </w:p>
    <w:p>
      <w:pPr>
        <w:pStyle w:val="Normal"/>
        <w:widowControl/>
        <w:rPr/>
      </w:pPr>
      <w:r>
        <w:rPr/>
      </w:r>
    </w:p>
    <w:p>
      <w:pPr>
        <w:pStyle w:val="Normal"/>
        <w:widowControl/>
        <w:tabs>
          <w:tab w:val="clear" w:pos="720"/>
          <w:tab w:val="left" w:pos="-1440" w:leader="none"/>
          <w:tab w:val="left" w:pos="-720" w:leader="none"/>
        </w:tabs>
        <w:suppressAutoHyphens w:val="true"/>
        <w:ind w:start="1440" w:end="0"/>
        <w:rPr/>
      </w:pPr>
      <w:r>
        <w:rPr/>
      </w:r>
    </w:p>
    <w:p>
      <w:pPr>
        <w:pStyle w:val="Normal"/>
        <w:widowControl/>
        <w:numPr>
          <w:ilvl w:val="0"/>
          <w:numId w:val="8"/>
        </w:numPr>
        <w:tabs>
          <w:tab w:val="clear" w:pos="720"/>
          <w:tab w:val="left" w:pos="0" w:leader="none"/>
        </w:tabs>
        <w:suppressAutoHyphens w:val="true"/>
        <w:ind w:hanging="720" w:start="1440" w:end="0"/>
        <w:jc w:val="both"/>
        <w:rPr/>
      </w:pPr>
      <w:r>
        <w:rPr>
          <w:b/>
          <w:bCs/>
          <w:i/>
          <w:iCs/>
        </w:rPr>
        <w:t>Other Provisions.</w:t>
      </w:r>
      <w:r>
        <w:rPr/>
        <w:t xml:space="preserve"> </w:t>
      </w:r>
    </w:p>
    <w:p>
      <w:pPr>
        <w:pStyle w:val="Normal"/>
        <w:widowControl/>
        <w:tabs>
          <w:tab w:val="left" w:pos="-720" w:leader="none"/>
          <w:tab w:val="left" w:pos="0" w:leader="none"/>
          <w:tab w:val="left" w:pos="720" w:leader="none"/>
        </w:tabs>
        <w:suppressAutoHyphens w:val="true"/>
        <w:jc w:val="both"/>
        <w:rPr/>
      </w:pPr>
      <w:r>
        <w:rPr/>
      </w:r>
    </w:p>
    <w:p>
      <w:pPr>
        <w:pStyle w:val="Normal"/>
        <w:widowControl/>
        <w:tabs>
          <w:tab w:val="left" w:pos="-720" w:leader="none"/>
          <w:tab w:val="left" w:pos="0" w:leader="none"/>
          <w:tab w:val="left" w:pos="720" w:leader="none"/>
        </w:tabs>
        <w:suppressAutoHyphens w:val="true"/>
        <w:ind w:hanging="720" w:start="720" w:end="0"/>
        <w:jc w:val="both"/>
        <w:rPr/>
      </w:pPr>
      <w:r>
        <w:rPr/>
        <w:tab/>
        <w:t>(i)</w:t>
        <w:tab/>
        <w:t>The definition of Posted Collateral shall also include any and all accounts in which the Cash which constitutes Posted Collateral is held.</w:t>
      </w:r>
    </w:p>
    <w:p>
      <w:pPr>
        <w:pStyle w:val="Normal"/>
        <w:widowControl/>
        <w:tabs>
          <w:tab w:val="clear" w:pos="720"/>
          <w:tab w:val="left" w:pos="-720" w:leader="none"/>
        </w:tabs>
        <w:suppressAutoHyphens w:val="true"/>
        <w:jc w:val="both"/>
        <w:rPr/>
      </w:pPr>
      <w:r>
        <w:rPr/>
      </w:r>
    </w:p>
    <w:p>
      <w:pPr>
        <w:pStyle w:val="Normal"/>
        <w:widowControl/>
        <w:tabs>
          <w:tab w:val="left" w:pos="-720" w:leader="none"/>
          <w:tab w:val="left" w:pos="0" w:leader="none"/>
          <w:tab w:val="left" w:pos="720" w:leader="none"/>
        </w:tabs>
        <w:suppressAutoHyphens w:val="true"/>
        <w:ind w:hanging="1350" w:start="1350" w:end="0"/>
        <w:jc w:val="both"/>
        <w:rPr/>
      </w:pPr>
      <w:r>
        <w:rPr/>
        <w:tab/>
        <w:t>(ii)</w:t>
        <w:tab/>
        <w:t>Paragraph 6(a) is hereby amended by adding the following sentence to the end thereof:</w:t>
      </w:r>
    </w:p>
    <w:p>
      <w:pPr>
        <w:pStyle w:val="Normal"/>
        <w:widowControl/>
        <w:tabs>
          <w:tab w:val="left" w:pos="-720" w:leader="none"/>
          <w:tab w:val="left" w:pos="0" w:leader="none"/>
          <w:tab w:val="left" w:pos="720" w:leader="none"/>
        </w:tabs>
        <w:suppressAutoHyphens w:val="true"/>
        <w:ind w:hanging="1440" w:start="1440" w:end="0"/>
        <w:jc w:val="both"/>
        <w:rPr/>
      </w:pPr>
      <w:r>
        <w:rPr/>
        <w:tab/>
      </w:r>
    </w:p>
    <w:p>
      <w:pPr>
        <w:pStyle w:val="BlockText"/>
        <w:widowControl/>
        <w:tabs>
          <w:tab w:val="clear" w:pos="0"/>
          <w:tab w:val="clear" w:pos="720"/>
          <w:tab w:val="clear" w:pos="1008"/>
          <w:tab w:val="clear" w:pos="1440"/>
        </w:tabs>
        <w:ind w:hanging="2160" w:start="2160" w:end="1008"/>
        <w:jc w:val="both"/>
        <w:rPr>
          <w:sz w:val="20"/>
          <w:szCs w:val="20"/>
        </w:rPr>
      </w:pPr>
      <w:r>
        <w:rPr>
          <w:sz w:val="20"/>
          <w:szCs w:val="20"/>
        </w:rPr>
        <w:tab/>
        <w:t xml:space="preserve">The Secured Party shall identify on its books and records the Posted Collateral (including for the sake of clarity, any cash proceeds of or distribution on such Posted Collateral) held by it from all other assets it may hold.  </w:t>
      </w:r>
    </w:p>
    <w:p>
      <w:pPr>
        <w:pStyle w:val="Normal"/>
        <w:widowControl/>
        <w:tabs>
          <w:tab w:val="left" w:pos="-720" w:leader="none"/>
          <w:tab w:val="left" w:pos="0" w:leader="none"/>
          <w:tab w:val="left" w:pos="720" w:leader="none"/>
        </w:tabs>
        <w:suppressAutoHyphens w:val="true"/>
        <w:ind w:hanging="2160" w:start="2160" w:end="0"/>
        <w:jc w:val="both"/>
        <w:rPr>
          <w:sz w:val="20"/>
          <w:szCs w:val="20"/>
        </w:rPr>
      </w:pPr>
      <w:r>
        <w:rPr>
          <w:sz w:val="20"/>
          <w:szCs w:val="20"/>
        </w:rPr>
      </w:r>
    </w:p>
    <w:p>
      <w:pPr>
        <w:pStyle w:val="Normal"/>
        <w:widowControl/>
        <w:tabs>
          <w:tab w:val="left" w:pos="-720" w:leader="none"/>
          <w:tab w:val="left" w:pos="0" w:leader="none"/>
          <w:tab w:val="left" w:pos="720" w:leader="none"/>
        </w:tabs>
        <w:suppressAutoHyphens w:val="true"/>
        <w:ind w:hanging="1350" w:start="1350" w:end="0"/>
        <w:jc w:val="both"/>
        <w:rPr/>
      </w:pPr>
      <w:r>
        <w:rPr/>
        <w:tab/>
        <w:t>(iii)</w:t>
        <w:tab/>
        <w:t>The following new paragraph is added to the end of Paragraph 8(a):</w:t>
      </w:r>
    </w:p>
    <w:p>
      <w:pPr>
        <w:pStyle w:val="Normal"/>
        <w:keepNext w:val="true"/>
        <w:widowControl/>
        <w:tabs>
          <w:tab w:val="clear" w:pos="720"/>
          <w:tab w:val="left" w:pos="-720" w:leader="none"/>
        </w:tabs>
        <w:suppressAutoHyphens w:val="true"/>
        <w:jc w:val="both"/>
        <w:rPr/>
      </w:pPr>
      <w:r>
        <w:rPr/>
      </w:r>
    </w:p>
    <w:p>
      <w:pPr>
        <w:pStyle w:val="Normal"/>
        <w:keepNext w:val="true"/>
        <w:widowControl/>
        <w:tabs>
          <w:tab w:val="left" w:pos="-720" w:leader="none"/>
          <w:tab w:val="left" w:pos="0" w:leader="none"/>
          <w:tab w:val="left" w:pos="720" w:leader="none"/>
          <w:tab w:val="left" w:pos="1440" w:leader="none"/>
        </w:tabs>
        <w:suppressAutoHyphens w:val="true"/>
        <w:ind w:hanging="2160" w:start="2160" w:end="0"/>
        <w:jc w:val="both"/>
        <w:rPr/>
      </w:pPr>
      <w:r>
        <w:rPr/>
        <w:tab/>
        <w:tab/>
        <w:tab/>
        <w:t>To the extent notice is required under applicable law, the parties hereto agree that notice on the day of sale is reasonable notice for purposes of the Uniform Commercial Code 9-504(3) (as in effect in New York).</w:t>
      </w:r>
    </w:p>
    <w:p>
      <w:pPr>
        <w:pStyle w:val="BodyTextIndent2"/>
        <w:keepNext w:val="false"/>
        <w:keepLines w:val="false"/>
        <w:widowControl/>
        <w:ind w:hanging="720" w:start="720" w:end="0"/>
        <w:jc w:val="both"/>
        <w:rPr>
          <w:sz w:val="20"/>
          <w:szCs w:val="20"/>
        </w:rPr>
      </w:pPr>
      <w:r>
        <w:rPr>
          <w:sz w:val="20"/>
          <w:szCs w:val="20"/>
        </w:rPr>
        <w:tab/>
      </w:r>
    </w:p>
    <w:p>
      <w:pPr>
        <w:pStyle w:val="Normal"/>
        <w:widowControl/>
        <w:tabs>
          <w:tab w:val="clear" w:pos="720"/>
          <w:tab w:val="left" w:pos="-720" w:leader="none"/>
        </w:tabs>
        <w:suppressAutoHyphens w:val="true"/>
        <w:ind w:hanging="630" w:start="1350" w:end="0"/>
        <w:jc w:val="both"/>
        <w:rPr/>
      </w:pPr>
      <w:r>
        <w:rPr/>
        <w:t>(iv)</w:t>
        <w:tab/>
        <w:t>Events of Default.  Paragraph 7(i) shall be amended and restated in its entirety as follows:</w:t>
      </w:r>
    </w:p>
    <w:p>
      <w:pPr>
        <w:pStyle w:val="Normal"/>
        <w:widowControl/>
        <w:tabs>
          <w:tab w:val="clear" w:pos="720"/>
          <w:tab w:val="left" w:pos="-720" w:leader="none"/>
        </w:tabs>
        <w:suppressAutoHyphens w:val="true"/>
        <w:jc w:val="both"/>
        <w:rPr/>
      </w:pPr>
      <w:r>
        <w:rPr/>
      </w:r>
    </w:p>
    <w:p>
      <w:pPr>
        <w:pStyle w:val="Normal"/>
        <w:widowControl/>
        <w:tabs>
          <w:tab w:val="clear" w:pos="720"/>
          <w:tab w:val="left" w:pos="-720" w:leader="none"/>
        </w:tabs>
        <w:suppressAutoHyphens w:val="true"/>
        <w:ind w:hanging="2160" w:start="2160" w:end="0"/>
        <w:jc w:val="both"/>
        <w:rPr/>
      </w:pPr>
      <w:r>
        <w:rPr/>
        <w:tab/>
        <w:t>(i)  that party fails (or fails to cause its Custodian) to make, when due any Transfer of Eligible Collateral, Posted Collateral or the Interest Amount as applicable, required to be made by it and that failure continues for one Local Business Day after notice of that failure is given to that party.</w:t>
      </w:r>
    </w:p>
    <w:p>
      <w:pPr>
        <w:pStyle w:val="BodyTextIndent2"/>
        <w:keepNext w:val="false"/>
        <w:keepLines w:val="false"/>
        <w:widowControl/>
        <w:tabs>
          <w:tab w:val="clear" w:pos="720"/>
          <w:tab w:val="left" w:pos="-720" w:leader="none"/>
          <w:tab w:val="left" w:pos="0" w:leader="none"/>
          <w:tab w:val="left" w:pos="630" w:leader="none"/>
          <w:tab w:val="left" w:pos="1350" w:leader="none"/>
          <w:tab w:val="left" w:pos="2070" w:leader="none"/>
        </w:tabs>
        <w:ind w:hanging="1350" w:start="1350" w:end="0"/>
        <w:jc w:val="both"/>
        <w:rPr>
          <w:sz w:val="20"/>
          <w:szCs w:val="20"/>
        </w:rPr>
      </w:pPr>
      <w:r>
        <w:rPr>
          <w:sz w:val="20"/>
          <w:szCs w:val="20"/>
        </w:rPr>
      </w:r>
    </w:p>
    <w:p>
      <w:pPr>
        <w:pStyle w:val="Normal"/>
        <w:widowControl/>
        <w:tabs>
          <w:tab w:val="clear" w:pos="720"/>
          <w:tab w:val="left" w:pos="-720" w:leader="none"/>
        </w:tabs>
        <w:suppressAutoHyphens w:val="true"/>
        <w:ind w:start="720" w:end="0"/>
        <w:jc w:val="both"/>
        <w:rPr/>
      </w:pPr>
      <w:r>
        <w:rPr/>
        <w:t>(v)</w:t>
        <w:tab/>
        <w:t>Each determination by Party A hereunder shall, in the absence of manifest error, be conclusive and binding on the parties.</w:t>
      </w:r>
    </w:p>
    <w:p>
      <w:pPr>
        <w:pStyle w:val="BodyTextIndent2"/>
        <w:keepNext w:val="false"/>
        <w:keepLines w:val="false"/>
        <w:widowControl/>
        <w:tabs>
          <w:tab w:val="clear" w:pos="720"/>
          <w:tab w:val="left" w:pos="-720" w:leader="none"/>
          <w:tab w:val="left" w:pos="0" w:leader="none"/>
          <w:tab w:val="left" w:pos="630" w:leader="none"/>
          <w:tab w:val="left" w:pos="1350" w:leader="none"/>
          <w:tab w:val="left" w:pos="2070" w:leader="none"/>
        </w:tabs>
        <w:ind w:hanging="1350" w:start="1350" w:end="0"/>
        <w:jc w:val="both"/>
        <w:rPr>
          <w:sz w:val="20"/>
          <w:szCs w:val="20"/>
        </w:rPr>
      </w:pPr>
      <w:r>
        <w:rPr>
          <w:sz w:val="20"/>
          <w:szCs w:val="20"/>
        </w:rPr>
      </w:r>
    </w:p>
    <w:p>
      <w:pPr>
        <w:pStyle w:val="Normal"/>
        <w:widowControl/>
        <w:rPr>
          <w:sz w:val="20"/>
          <w:szCs w:val="20"/>
        </w:rPr>
      </w:pPr>
      <w:r>
        <w:rPr>
          <w:sz w:val="20"/>
          <w:szCs w:val="20"/>
        </w:rPr>
      </w:r>
    </w:p>
    <w:p>
      <w:pPr>
        <w:pStyle w:val="Normal"/>
        <w:widowControl/>
        <w:jc w:val="center"/>
        <w:rPr/>
      </w:pPr>
      <w:r>
        <w:rPr/>
        <w:t>[remainder of page intentionally blank]</w:t>
      </w:r>
    </w:p>
    <w:p>
      <w:pPr>
        <w:sectPr>
          <w:footerReference w:type="default" r:id="rId2"/>
          <w:type w:val="nextPage"/>
          <w:pgSz w:w="12240" w:h="15840"/>
          <w:pgMar w:left="1800" w:right="1800" w:gutter="0" w:header="0" w:top="1440" w:footer="720" w:bottom="1440"/>
          <w:pgNumType w:start="11" w:fmt="decimal"/>
          <w:formProt w:val="false"/>
          <w:textDirection w:val="lrTb"/>
        </w:sectPr>
        <w:pStyle w:val="Normal"/>
        <w:widowControl/>
        <w:rPr/>
      </w:pPr>
      <w:r>
        <w:rPr/>
      </w:r>
    </w:p>
    <w:p>
      <w:pPr>
        <w:pStyle w:val="Normal"/>
        <w:widowControl/>
        <w:ind w:start="720" w:end="0"/>
        <w:rPr/>
      </w:pPr>
      <w:r>
        <w:rPr/>
      </w:r>
    </w:p>
    <w:p>
      <w:pPr>
        <w:pStyle w:val="Normal"/>
        <w:keepNext w:val="true"/>
        <w:widowControl/>
        <w:tabs>
          <w:tab w:val="clear" w:pos="720"/>
          <w:tab w:val="left" w:pos="-1440" w:leader="none"/>
          <w:tab w:val="left" w:pos="-720" w:leader="none"/>
        </w:tabs>
        <w:suppressAutoHyphens w:val="true"/>
        <w:rPr/>
      </w:pPr>
      <w:r>
        <w:rPr>
          <w:b/>
          <w:bCs/>
        </w:rPr>
        <w:tab/>
        <w:t>IN WITNESS WHEREOF</w:t>
      </w:r>
      <w:r>
        <w:rPr/>
        <w:t xml:space="preserve"> the parties have executed this Credit Support Annex on the respective dates specified below with effect from the date specified on the first page of this Credit Support Annex.</w:t>
      </w:r>
    </w:p>
    <w:p>
      <w:pPr>
        <w:pStyle w:val="Normal"/>
        <w:keepNext w:val="true"/>
        <w:widowControl/>
        <w:tabs>
          <w:tab w:val="clear" w:pos="720"/>
          <w:tab w:val="left" w:pos="-1440" w:leader="none"/>
          <w:tab w:val="left" w:pos="-720" w:leader="none"/>
        </w:tabs>
        <w:suppressAutoHyphens w:val="true"/>
        <w:rPr/>
      </w:pPr>
      <w:r>
        <w:rPr/>
      </w:r>
    </w:p>
    <w:tbl>
      <w:tblPr>
        <w:tblW w:w="9360" w:type="dxa"/>
        <w:jc w:val="start"/>
        <w:tblInd w:w="120" w:type="dxa"/>
        <w:tblLayout w:type="fixed"/>
        <w:tblCellMar>
          <w:top w:w="0" w:type="dxa"/>
          <w:start w:w="120" w:type="dxa"/>
          <w:bottom w:w="0" w:type="dxa"/>
          <w:end w:w="120" w:type="dxa"/>
        </w:tblCellMar>
      </w:tblPr>
      <w:tblGrid>
        <w:gridCol w:w="4296"/>
        <w:gridCol w:w="696"/>
        <w:gridCol w:w="4368"/>
      </w:tblGrid>
      <w:tr>
        <w:trPr/>
        <w:tc>
          <w:tcPr>
            <w:tcW w:w="4296" w:type="dxa"/>
            <w:tcBorders/>
          </w:tcPr>
          <w:p>
            <w:pPr>
              <w:pStyle w:val="Normal"/>
              <w:keepNext w:val="true"/>
              <w:widowControl/>
              <w:tabs>
                <w:tab w:val="clear" w:pos="720"/>
                <w:tab w:val="left" w:pos="-1440" w:leader="none"/>
                <w:tab w:val="left" w:pos="-720" w:leader="none"/>
              </w:tabs>
              <w:suppressAutoHyphens w:val="true"/>
              <w:rPr/>
            </w:pPr>
            <w:r>
              <w:rPr/>
              <w:t>ENRON NORTH AMERICA CORP.</w:t>
            </w:r>
          </w:p>
        </w:tc>
        <w:tc>
          <w:tcPr>
            <w:tcW w:w="696" w:type="dxa"/>
            <w:tcBorders/>
          </w:tcPr>
          <w:p>
            <w:pPr>
              <w:pStyle w:val="Normal"/>
              <w:keepNext w:val="true"/>
              <w:keepLines/>
              <w:widowControl/>
              <w:tabs>
                <w:tab w:val="clear" w:pos="720"/>
                <w:tab w:val="left" w:pos="-1440" w:leader="none"/>
                <w:tab w:val="left" w:pos="-720" w:leader="none"/>
              </w:tabs>
              <w:suppressAutoHyphens w:val="true"/>
              <w:snapToGrid w:val="false"/>
              <w:spacing w:before="90" w:after="54"/>
              <w:rPr/>
            </w:pPr>
            <w:r>
              <w:rPr/>
            </w:r>
          </w:p>
        </w:tc>
        <w:tc>
          <w:tcPr>
            <w:tcW w:w="4368" w:type="dxa"/>
            <w:tcBorders/>
          </w:tcPr>
          <w:p>
            <w:pPr>
              <w:pStyle w:val="Normal"/>
              <w:keepNext w:val="true"/>
              <w:widowControl/>
              <w:tabs>
                <w:tab w:val="clear" w:pos="720"/>
                <w:tab w:val="left" w:pos="-1440" w:leader="none"/>
                <w:tab w:val="left" w:pos="-720" w:leader="none"/>
              </w:tabs>
              <w:suppressAutoHyphens w:val="true"/>
              <w:rPr/>
            </w:pPr>
            <w:r>
              <w:rPr/>
              <w:t>DELTA ENERGY CORPORATION</w:t>
            </w:r>
          </w:p>
          <w:p>
            <w:pPr>
              <w:pStyle w:val="Normal"/>
              <w:keepNext w:val="true"/>
              <w:widowControl/>
              <w:tabs>
                <w:tab w:val="clear" w:pos="720"/>
                <w:tab w:val="left" w:pos="-1440" w:leader="none"/>
                <w:tab w:val="left" w:pos="-720" w:leader="none"/>
              </w:tabs>
              <w:suppressAutoHyphens w:val="true"/>
              <w:rPr/>
            </w:pPr>
            <w:r>
              <w:rPr/>
            </w:r>
          </w:p>
        </w:tc>
      </w:tr>
      <w:tr>
        <w:trPr/>
        <w:tc>
          <w:tcPr>
            <w:tcW w:w="4296" w:type="dxa"/>
            <w:tcBorders/>
          </w:tcPr>
          <w:p>
            <w:pPr>
              <w:pStyle w:val="Normal"/>
              <w:keepNext w:val="true"/>
              <w:widowControl/>
              <w:tabs>
                <w:tab w:val="clear" w:pos="720"/>
                <w:tab w:val="left" w:pos="-1440" w:leader="none"/>
                <w:tab w:val="left" w:pos="-720" w:leader="none"/>
              </w:tabs>
              <w:suppressAutoHyphens w:val="true"/>
              <w:snapToGrid w:val="false"/>
              <w:spacing w:before="90" w:after="0"/>
              <w:rPr/>
            </w:pPr>
            <w:r>
              <w:rPr/>
            </w:r>
          </w:p>
          <w:p>
            <w:pPr>
              <w:pStyle w:val="Normal"/>
              <w:keepNext w:val="true"/>
              <w:widowControl/>
              <w:tabs>
                <w:tab w:val="clear" w:pos="720"/>
                <w:tab w:val="left" w:pos="-1440" w:leader="none"/>
                <w:tab w:val="left" w:pos="-720" w:leader="none"/>
              </w:tabs>
              <w:suppressAutoHyphens w:val="true"/>
              <w:rPr/>
            </w:pPr>
            <w:r>
              <w:rPr/>
            </w:r>
          </w:p>
          <w:p>
            <w:pPr>
              <w:pStyle w:val="Normal"/>
              <w:keepNext w:val="true"/>
              <w:widowControl/>
              <w:tabs>
                <w:tab w:val="clear" w:pos="720"/>
                <w:tab w:val="left" w:pos="-1440" w:leader="none"/>
                <w:tab w:val="left" w:pos="-720" w:leader="none"/>
              </w:tabs>
              <w:suppressAutoHyphens w:val="true"/>
              <w:rPr/>
            </w:pPr>
            <w:r>
              <w:rPr/>
              <w:t>By:_________________________</w:t>
            </w:r>
          </w:p>
          <w:p>
            <w:pPr>
              <w:pStyle w:val="Normal"/>
              <w:keepNext w:val="true"/>
              <w:widowControl/>
              <w:tabs>
                <w:tab w:val="clear" w:pos="720"/>
                <w:tab w:val="left" w:pos="-1440" w:leader="none"/>
                <w:tab w:val="left" w:pos="-720" w:leader="none"/>
              </w:tabs>
              <w:suppressAutoHyphens w:val="true"/>
              <w:rPr/>
            </w:pPr>
            <w:r>
              <w:rPr/>
              <w:t xml:space="preserve">   </w:t>
            </w:r>
            <w:r>
              <w:rPr/>
              <w:t>Name:</w:t>
            </w:r>
          </w:p>
          <w:p>
            <w:pPr>
              <w:pStyle w:val="Normal"/>
              <w:keepNext w:val="true"/>
              <w:widowControl/>
              <w:tabs>
                <w:tab w:val="clear" w:pos="720"/>
                <w:tab w:val="left" w:pos="-1440" w:leader="none"/>
                <w:tab w:val="left" w:pos="-720" w:leader="none"/>
              </w:tabs>
              <w:suppressAutoHyphens w:val="true"/>
              <w:rPr/>
            </w:pPr>
            <w:r>
              <w:rPr/>
              <w:t xml:space="preserve">   </w:t>
            </w:r>
            <w:r>
              <w:rPr/>
              <w:t>Title:</w:t>
            </w:r>
          </w:p>
          <w:p>
            <w:pPr>
              <w:pStyle w:val="Normal"/>
              <w:keepNext w:val="true"/>
              <w:widowControl/>
              <w:tabs>
                <w:tab w:val="clear" w:pos="720"/>
                <w:tab w:val="left" w:pos="-1440" w:leader="none"/>
                <w:tab w:val="left" w:pos="-720" w:leader="none"/>
              </w:tabs>
              <w:suppressAutoHyphens w:val="true"/>
              <w:spacing w:before="0" w:after="54"/>
              <w:rPr/>
            </w:pPr>
            <w:r>
              <w:rPr/>
              <w:t xml:space="preserve">   </w:t>
            </w:r>
            <w:r>
              <w:rPr/>
              <w:t>Date:</w:t>
            </w:r>
          </w:p>
        </w:tc>
        <w:tc>
          <w:tcPr>
            <w:tcW w:w="696" w:type="dxa"/>
            <w:tcBorders/>
          </w:tcPr>
          <w:p>
            <w:pPr>
              <w:pStyle w:val="Normal"/>
              <w:keepNext w:val="true"/>
              <w:keepLines/>
              <w:widowControl/>
              <w:tabs>
                <w:tab w:val="clear" w:pos="720"/>
                <w:tab w:val="left" w:pos="-1440" w:leader="none"/>
                <w:tab w:val="left" w:pos="-720" w:leader="none"/>
              </w:tabs>
              <w:suppressAutoHyphens w:val="true"/>
              <w:snapToGrid w:val="false"/>
              <w:spacing w:before="90" w:after="54"/>
              <w:jc w:val="center"/>
              <w:rPr/>
            </w:pPr>
            <w:r>
              <w:rPr/>
            </w:r>
          </w:p>
        </w:tc>
        <w:tc>
          <w:tcPr>
            <w:tcW w:w="4368" w:type="dxa"/>
            <w:tcBorders/>
          </w:tcPr>
          <w:p>
            <w:pPr>
              <w:pStyle w:val="Normal"/>
              <w:keepNext w:val="true"/>
              <w:widowControl/>
              <w:tabs>
                <w:tab w:val="clear" w:pos="720"/>
                <w:tab w:val="left" w:pos="-1440" w:leader="none"/>
                <w:tab w:val="left" w:pos="-720" w:leader="none"/>
              </w:tabs>
              <w:suppressAutoHyphens w:val="true"/>
              <w:snapToGrid w:val="false"/>
              <w:spacing w:before="90" w:after="0"/>
              <w:rPr/>
            </w:pPr>
            <w:r>
              <w:rPr/>
            </w:r>
          </w:p>
          <w:p>
            <w:pPr>
              <w:pStyle w:val="Normal"/>
              <w:keepNext w:val="true"/>
              <w:widowControl/>
              <w:tabs>
                <w:tab w:val="clear" w:pos="720"/>
                <w:tab w:val="left" w:pos="-1440" w:leader="none"/>
                <w:tab w:val="left" w:pos="-720" w:leader="none"/>
              </w:tabs>
              <w:suppressAutoHyphens w:val="true"/>
              <w:rPr/>
            </w:pPr>
            <w:r>
              <w:rPr/>
            </w:r>
          </w:p>
          <w:p>
            <w:pPr>
              <w:pStyle w:val="Normal"/>
              <w:keepNext w:val="true"/>
              <w:widowControl/>
              <w:tabs>
                <w:tab w:val="clear" w:pos="720"/>
                <w:tab w:val="left" w:pos="-1440" w:leader="none"/>
                <w:tab w:val="left" w:pos="-720" w:leader="none"/>
              </w:tabs>
              <w:suppressAutoHyphens w:val="true"/>
              <w:rPr/>
            </w:pPr>
            <w:r>
              <w:rPr/>
              <w:t>By:_________________________</w:t>
            </w:r>
          </w:p>
          <w:p>
            <w:pPr>
              <w:pStyle w:val="Normal"/>
              <w:keepNext w:val="true"/>
              <w:widowControl/>
              <w:tabs>
                <w:tab w:val="clear" w:pos="720"/>
                <w:tab w:val="left" w:pos="-1440" w:leader="none"/>
                <w:tab w:val="left" w:pos="-720" w:leader="none"/>
              </w:tabs>
              <w:suppressAutoHyphens w:val="true"/>
              <w:rPr/>
            </w:pPr>
            <w:r>
              <w:rPr/>
              <w:t xml:space="preserve">   </w:t>
            </w:r>
            <w:r>
              <w:rPr/>
              <w:t>Name:</w:t>
            </w:r>
          </w:p>
          <w:p>
            <w:pPr>
              <w:pStyle w:val="Normal"/>
              <w:keepNext w:val="true"/>
              <w:widowControl/>
              <w:tabs>
                <w:tab w:val="clear" w:pos="720"/>
                <w:tab w:val="left" w:pos="-1440" w:leader="none"/>
                <w:tab w:val="left" w:pos="-720" w:leader="none"/>
              </w:tabs>
              <w:suppressAutoHyphens w:val="true"/>
              <w:rPr/>
            </w:pPr>
            <w:r>
              <w:rPr/>
              <w:t xml:space="preserve">   </w:t>
            </w:r>
            <w:r>
              <w:rPr/>
              <w:t>Title:</w:t>
            </w:r>
          </w:p>
          <w:p>
            <w:pPr>
              <w:pStyle w:val="Normal"/>
              <w:keepNext w:val="true"/>
              <w:widowControl/>
              <w:tabs>
                <w:tab w:val="clear" w:pos="720"/>
                <w:tab w:val="left" w:pos="-1440" w:leader="none"/>
                <w:tab w:val="left" w:pos="-720" w:leader="none"/>
              </w:tabs>
              <w:suppressAutoHyphens w:val="true"/>
              <w:spacing w:before="0" w:after="54"/>
              <w:rPr/>
            </w:pPr>
            <w:r>
              <w:rPr/>
              <w:t xml:space="preserve">   </w:t>
            </w:r>
            <w:r>
              <w:rPr/>
              <w:t>Date:</w:t>
            </w:r>
          </w:p>
        </w:tc>
      </w:tr>
    </w:tbl>
    <w:p>
      <w:pPr>
        <w:pStyle w:val="Normal"/>
        <w:widowControl/>
        <w:rPr/>
      </w:pPr>
      <w:r>
        <w:rPr/>
      </w:r>
    </w:p>
    <w:p>
      <w:pPr>
        <w:pStyle w:val="Normal"/>
        <w:widowControl/>
        <w:rPr/>
      </w:pPr>
      <w:r>
        <w:rPr/>
      </w:r>
    </w:p>
    <w:sectPr>
      <w:footerReference w:type="default" r:id="rId3"/>
      <w:footerReference w:type="first" r:id="rId4"/>
      <w:type w:val="nextPage"/>
      <w:pgSz w:w="12240" w:h="15840"/>
      <w:pgMar w:left="1800" w:right="1800" w:gutter="0" w:header="0" w:top="1440" w:footer="0" w:bottom="1440"/>
      <w:pgNumType w:start="11"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Courier">
    <w:altName w:val="Courier New"/>
    <w:charset w:val="01"/>
    <w:family w:val="modern"/>
    <w:pitch w:val="default"/>
  </w:font>
  <w:font w:name="Courier New">
    <w:charset w:val="01"/>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lineRule="exact" w:line="200"/>
      <w:rPr/>
    </w:pPr>
    <w:r>
      <w:rPr>
        <w:rStyle w:val="zzmpTrailerItem"/>
      </w:rPr>
      <w:t>NY3:#7250092</w:t>
    </w:r>
    <w:r>
      <w:rPr/>
      <w:tab/>
    </w: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2"/>
      <w:numFmt w:val="lowerRoman"/>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2160"/>
        </w:tabs>
        <w:ind w:start="2160" w:hanging="21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2"/>
      <w:numFmt w:val="decimal"/>
      <w:lvlText w:val="(%1)"/>
      <w:lvlJc w:val="start"/>
      <w:pPr>
        <w:tabs>
          <w:tab w:val="num" w:pos="2160"/>
        </w:tabs>
        <w:ind w:start="2160" w:hanging="21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3"/>
      <w:numFmt w:val="decimal"/>
      <w:lvlText w:val="(%1)"/>
      <w:lvlJc w:val="start"/>
      <w:pPr>
        <w:tabs>
          <w:tab w:val="num" w:pos="2160"/>
        </w:tabs>
        <w:ind w:start="2160" w:hanging="21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2"/>
      <w:numFmt w:val="lowerRoman"/>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0"/>
      <w:numFmt w:val="lowerLetter"/>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3"/>
      <w:numFmt w:val="lowerLetter"/>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BodyText"/>
    <w:qFormat/>
    <w:pPr>
      <w:keepNext w:val="true"/>
      <w:keepLines/>
      <w:numPr>
        <w:ilvl w:val="0"/>
        <w:numId w:val="1"/>
      </w:numPr>
      <w:spacing w:lineRule="exact" w:line="240" w:before="240" w:after="0"/>
      <w:ind w:hanging="720" w:start="720" w:end="720"/>
      <w:outlineLvl w:val="0"/>
    </w:pPr>
    <w:rPr>
      <w:b/>
      <w:bCs/>
      <w:caps/>
      <w:sz w:val="24"/>
      <w:szCs w:val="24"/>
    </w:rPr>
  </w:style>
  <w:style w:type="paragraph" w:styleId="Heading2">
    <w:name w:val="heading 2"/>
    <w:basedOn w:val="Normal"/>
    <w:next w:val="BodyText"/>
    <w:qFormat/>
    <w:pPr>
      <w:keepNext w:val="true"/>
      <w:keepLines/>
      <w:numPr>
        <w:ilvl w:val="1"/>
        <w:numId w:val="1"/>
      </w:numPr>
      <w:spacing w:lineRule="exact" w:line="240" w:before="240" w:after="0"/>
      <w:ind w:hanging="720" w:start="1440" w:end="720"/>
      <w:outlineLvl w:val="1"/>
    </w:pPr>
    <w:rPr>
      <w:b/>
      <w:bCs/>
      <w:sz w:val="24"/>
      <w:szCs w:val="24"/>
    </w:rPr>
  </w:style>
  <w:style w:type="paragraph" w:styleId="Heading3">
    <w:name w:val="heading 3"/>
    <w:basedOn w:val="Normal"/>
    <w:next w:val="BodyText"/>
    <w:qFormat/>
    <w:pPr>
      <w:keepNext w:val="true"/>
      <w:keepLines/>
      <w:numPr>
        <w:ilvl w:val="2"/>
        <w:numId w:val="1"/>
      </w:numPr>
      <w:spacing w:lineRule="exact" w:line="240" w:before="240" w:after="0"/>
      <w:ind w:hanging="720" w:start="2160" w:end="720"/>
      <w:outlineLvl w:val="2"/>
    </w:pPr>
    <w:rPr>
      <w:sz w:val="24"/>
      <w:szCs w:val="24"/>
    </w:rPr>
  </w:style>
  <w:style w:type="paragraph" w:styleId="Heading4">
    <w:name w:val="heading 4"/>
    <w:basedOn w:val="Normal"/>
    <w:next w:val="BodyText"/>
    <w:qFormat/>
    <w:pPr>
      <w:keepNext w:val="true"/>
      <w:keepLines/>
      <w:numPr>
        <w:ilvl w:val="3"/>
        <w:numId w:val="1"/>
      </w:numPr>
      <w:spacing w:lineRule="exact" w:line="240" w:before="240" w:after="0"/>
      <w:ind w:hanging="720" w:start="2880" w:end="720"/>
      <w:outlineLvl w:val="3"/>
    </w:pPr>
    <w:rPr>
      <w:sz w:val="24"/>
      <w:szCs w:val="24"/>
    </w:rPr>
  </w:style>
  <w:style w:type="paragraph" w:styleId="Heading5">
    <w:name w:val="heading 5"/>
    <w:basedOn w:val="Normal"/>
    <w:next w:val="BodyText"/>
    <w:qFormat/>
    <w:pPr>
      <w:keepNext w:val="true"/>
      <w:keepLines/>
      <w:numPr>
        <w:ilvl w:val="4"/>
        <w:numId w:val="1"/>
      </w:numPr>
      <w:spacing w:lineRule="exact" w:line="240" w:before="240" w:after="0"/>
      <w:ind w:hanging="720" w:start="3600" w:end="720"/>
      <w:outlineLvl w:val="4"/>
    </w:pPr>
    <w:rPr>
      <w:sz w:val="24"/>
      <w:szCs w:val="24"/>
    </w:rPr>
  </w:style>
  <w:style w:type="paragraph" w:styleId="Heading6">
    <w:name w:val="heading 6"/>
    <w:basedOn w:val="Normal"/>
    <w:next w:val="BodyText"/>
    <w:qFormat/>
    <w:pPr>
      <w:keepNext w:val="true"/>
      <w:keepLines/>
      <w:numPr>
        <w:ilvl w:val="5"/>
        <w:numId w:val="1"/>
      </w:numPr>
      <w:spacing w:lineRule="exact" w:line="240" w:before="240" w:after="0"/>
      <w:ind w:hanging="720" w:start="4320" w:end="720"/>
      <w:outlineLvl w:val="5"/>
    </w:pPr>
    <w:rPr>
      <w:sz w:val="24"/>
      <w:szCs w:val="24"/>
    </w:rPr>
  </w:style>
  <w:style w:type="paragraph" w:styleId="Heading7">
    <w:name w:val="heading 7"/>
    <w:basedOn w:val="Normal"/>
    <w:next w:val="BodyText"/>
    <w:qFormat/>
    <w:pPr>
      <w:keepNext w:val="true"/>
      <w:keepLines/>
      <w:numPr>
        <w:ilvl w:val="6"/>
        <w:numId w:val="1"/>
      </w:numPr>
      <w:spacing w:lineRule="exact" w:line="240" w:before="240" w:after="0"/>
      <w:ind w:hanging="720" w:start="5040" w:end="720"/>
      <w:outlineLvl w:val="6"/>
    </w:pPr>
    <w:rPr>
      <w:sz w:val="24"/>
      <w:szCs w:val="24"/>
    </w:rPr>
  </w:style>
  <w:style w:type="paragraph" w:styleId="Heading8">
    <w:name w:val="heading 8"/>
    <w:basedOn w:val="Normal"/>
    <w:next w:val="BodyText"/>
    <w:qFormat/>
    <w:pPr>
      <w:keepNext w:val="true"/>
      <w:keepLines/>
      <w:numPr>
        <w:ilvl w:val="7"/>
        <w:numId w:val="1"/>
      </w:numPr>
      <w:spacing w:lineRule="exact" w:line="240" w:before="240" w:after="0"/>
      <w:ind w:hanging="720" w:start="5760" w:end="720"/>
      <w:outlineLvl w:val="7"/>
    </w:pPr>
    <w:rPr>
      <w:sz w:val="24"/>
      <w:szCs w:val="24"/>
    </w:rPr>
  </w:style>
  <w:style w:type="paragraph" w:styleId="Heading9">
    <w:name w:val="heading 9"/>
    <w:basedOn w:val="Normal"/>
    <w:next w:val="BodyText"/>
    <w:qFormat/>
    <w:pPr>
      <w:keepNext w:val="true"/>
      <w:keepLines/>
      <w:numPr>
        <w:ilvl w:val="8"/>
        <w:numId w:val="1"/>
      </w:numPr>
      <w:spacing w:lineRule="exact" w:line="240" w:before="240" w:after="0"/>
      <w:ind w:hanging="720" w:start="6480" w:end="720"/>
      <w:outlineLvl w:val="8"/>
    </w:pPr>
    <w:rPr>
      <w:sz w:val="24"/>
      <w:szCs w:val="24"/>
    </w:rPr>
  </w:style>
  <w:style w:type="character" w:styleId="DefaultParagraphFont">
    <w:name w:val="Default Paragraph Font"/>
    <w:qFormat/>
    <w:rPr/>
  </w:style>
  <w:style w:type="character" w:styleId="zzmpTrailerItem">
    <w:name w:val="zzmpTrailerItem"/>
    <w:basedOn w:val="DefaultParagraphFont"/>
    <w:qFormat/>
    <w:rPr>
      <w:b/>
      <w:bCs/>
      <w:i/>
      <w:iCs/>
      <w:sz w:val="16"/>
      <w:szCs w:val="16"/>
    </w:rPr>
  </w:style>
  <w:style w:type="character" w:styleId="FootnoteCharacters">
    <w:name w:val="Footnote Characters"/>
    <w:basedOn w:val="DefaultParagraphFont"/>
    <w:qFormat/>
    <w:rPr>
      <w:sz w:val="20"/>
      <w:szCs w:val="20"/>
      <w:vertAlign w:val="superscript"/>
    </w:rPr>
  </w:style>
  <w:style w:type="character" w:styleId="PageNumber">
    <w:name w:val="page number"/>
    <w:basedOn w:val="DefaultParagraphFont"/>
    <w:rPr>
      <w:sz w:val="20"/>
      <w:szCs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480"/>
      <w:ind w:firstLine="1440" w:start="0" w:end="0"/>
    </w:pPr>
    <w:rPr>
      <w:sz w:val="24"/>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IndentedParagraph">
    <w:name w:val="Indented Paragraph"/>
    <w:qFormat/>
    <w:pPr>
      <w:keepLines/>
      <w:widowControl w:val="false"/>
      <w:bidi w:val="0"/>
      <w:spacing w:lineRule="exact" w:line="240"/>
      <w:ind w:firstLine="720" w:start="0" w:end="0"/>
      <w:jc w:val="both"/>
    </w:pPr>
    <w:rPr>
      <w:rFonts w:ascii="Courier" w:hAnsi="Courier" w:eastAsia="Courier" w:cs="Courier"/>
      <w:color w:val="auto"/>
      <w:sz w:val="20"/>
      <w:szCs w:val="20"/>
      <w:lang w:val="en-US" w:eastAsia="zh-CN" w:bidi="hi-IN"/>
    </w:rPr>
  </w:style>
  <w:style w:type="paragraph" w:styleId="EndnoteText">
    <w:name w:val="endnote text"/>
    <w:basedOn w:val="Normal"/>
    <w:pPr/>
    <w:rPr>
      <w:rFonts w:ascii="Courier New" w:hAnsi="Courier New" w:eastAsia="Courier New" w:cs="Courier New"/>
      <w:sz w:val="24"/>
      <w:szCs w:val="24"/>
    </w:rPr>
  </w:style>
  <w:style w:type="paragraph" w:styleId="BodyText2">
    <w:name w:val="Body Text 2"/>
    <w:basedOn w:val="Normal"/>
    <w:qFormat/>
    <w:pPr>
      <w:tabs>
        <w:tab w:val="clear" w:pos="720"/>
        <w:tab w:val="left" w:pos="-720" w:leader="none"/>
      </w:tabs>
      <w:suppressAutoHyphens w:val="true"/>
      <w:ind w:hanging="1440" w:start="2160" w:end="0"/>
    </w:pPr>
    <w:rPr>
      <w:sz w:val="22"/>
      <w:szCs w:val="22"/>
    </w:rPr>
  </w:style>
  <w:style w:type="paragraph" w:styleId="BlockText">
    <w:name w:val="Block Text"/>
    <w:basedOn w:val="Normal"/>
    <w:qFormat/>
    <w:pPr>
      <w:tabs>
        <w:tab w:val="left" w:pos="0" w:leader="none"/>
        <w:tab w:val="left" w:pos="720" w:leader="none"/>
        <w:tab w:val="left" w:pos="1008" w:leader="none"/>
        <w:tab w:val="left" w:pos="1440" w:leader="none"/>
      </w:tabs>
      <w:suppressAutoHyphens w:val="true"/>
      <w:ind w:hanging="1440" w:start="1440" w:end="1008"/>
    </w:pPr>
    <w:rPr>
      <w:sz w:val="24"/>
      <w:szCs w:val="24"/>
    </w:rPr>
  </w:style>
  <w:style w:type="paragraph" w:styleId="BodyTextIndent2">
    <w:name w:val="Body Text Indent 2"/>
    <w:basedOn w:val="Normal"/>
    <w:qFormat/>
    <w:pPr>
      <w:keepNext w:val="true"/>
      <w:keepLines/>
      <w:tabs>
        <w:tab w:val="left" w:pos="-720" w:leader="none"/>
        <w:tab w:val="left" w:pos="0" w:leader="none"/>
        <w:tab w:val="left" w:pos="720" w:leader="none"/>
        <w:tab w:val="left" w:pos="2070" w:leader="none"/>
      </w:tabs>
      <w:suppressAutoHyphens w:val="true"/>
      <w:ind w:hanging="0" w:start="1440" w:end="0"/>
    </w:pPr>
    <w:rPr>
      <w:sz w:val="22"/>
      <w:szCs w:val="22"/>
    </w:rPr>
  </w:style>
  <w:style w:type="paragraph" w:styleId="FootnoteText">
    <w:name w:val="footnote text"/>
    <w:basedOn w:val="Normal"/>
    <w:pPr/>
    <w:rPr>
      <w:rFonts w:ascii="Courier New" w:hAnsi="Courier New" w:eastAsia="Courier New" w:cs="Courier New"/>
      <w:sz w:val="24"/>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2000-08-29T00:37:00Z</dcterms:created>
  <dc:creator>RRichard</dc:creator>
  <dc:description/>
  <dc:language>en-CA</dc:language>
  <cp:lastModifiedBy>AShaw</cp:lastModifiedBy>
  <cp:lastPrinted>2000-08-25T05:23:00Z</cp:lastPrinted>
  <dcterms:modified xsi:type="dcterms:W3CDTF">2000-08-29T00:38:00Z</dcterms:modified>
  <cp:revision>1</cp:revision>
  <dc:subject/>
  <dc:title>Paragraph 13</dc:title>
</cp:coreProperties>
</file>