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both"/>
        <w:rPr>
          <w:spacing w:val="-3"/>
        </w:rPr>
      </w:pPr>
      <w:r>
        <w:rPr>
          <w:spacing w:val="-3"/>
        </w:rPr>
        <w:t>#)</w:t>
        <w:tab/>
        <w:t>CREDIT CLAUSE</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jc w:val="both"/>
        <w:rPr/>
      </w:pPr>
      <w:r>
        <w:rPr>
          <w:spacing w:val="-3"/>
        </w:rPr>
        <w:tab/>
        <w:t>(a)</w:t>
        <w:tab/>
      </w:r>
      <w:r>
        <w:rPr>
          <w:color w:val="000000"/>
        </w:rPr>
        <w:t>In order to secure Pledgor</w:t>
      </w:r>
      <w:r>
        <w:rPr>
          <w:spacing w:val="-3"/>
        </w:rPr>
        <w:t>’s obligations to Pledgee under this Transaction and all other outstanding commodity-related transactions between the parties (collectively, the “Transactions”),</w:t>
      </w:r>
      <w:r>
        <w:rPr>
          <w:color w:val="000000"/>
        </w:rPr>
        <w:t xml:space="preserve"> Pledgor shall deliver and maintain with Pledgee Collateral equal to the Required Amount. </w:t>
      </w:r>
      <w:r>
        <w:rPr>
          <w:spacing w:val="-3"/>
        </w:rPr>
        <w:t xml:space="preserve">If, on any Business Day, </w:t>
      </w:r>
      <w:r>
        <w:rPr>
          <w:color w:val="000000"/>
        </w:rPr>
        <w:t xml:space="preserve">the Required Amount exceeds the value of Collateral on deposit with Pledgee (the “Collateral Value”), Pledgor shall deposit, within one Business Day of Pledgor’s receipt of Pledgee's request, additional Collateral at least equal to such difference.  The failure to maintain Collateral as required above shall be an Event of Default with respect to all Transactions.  </w:t>
      </w:r>
      <w:r>
        <w:rPr>
          <w:spacing w:val="-3"/>
        </w:rPr>
        <w:t>Cash Collateral shall be paid, in immediately available funds in U.S. Dollars.  Pledgee shall have free and unrestricted use of all Cash Collateral delivered to it.</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jc w:val="both"/>
        <w:rPr>
          <w:spacing w:val="-3"/>
        </w:rPr>
      </w:pPr>
      <w:r>
        <w:rPr>
          <w:spacing w:val="-3"/>
        </w:rPr>
        <w:tab/>
        <w:t>(b)</w:t>
        <w:tab/>
        <w:t xml:space="preserve">If, on any Business Day, the Required Amount is less than </w:t>
      </w:r>
      <w:r>
        <w:rPr>
          <w:color w:val="000000"/>
        </w:rPr>
        <w:t>the Collateral Value, and if</w:t>
      </w:r>
      <w:r>
        <w:rPr>
          <w:spacing w:val="-3"/>
        </w:rPr>
        <w:t xml:space="preserve"> no Event of Default (or event which with the passage of time or giving of notice would constitute an Event of Default) has occurred and is continuing with respect to Pledgor, Pledgee shall, upon Pledgor’s request, return Collateral in an amount sufficient to cause the </w:t>
      </w:r>
      <w:r>
        <w:rPr>
          <w:color w:val="000000"/>
        </w:rPr>
        <w:t>remaining Collateral Value</w:t>
      </w:r>
      <w:r>
        <w:rPr>
          <w:spacing w:val="-3"/>
        </w:rPr>
        <w:t xml:space="preserve"> to at least equal the Required Amount.  Cash Collateral shall be returned no later than the close of the Business Day immediately following Pledgee’s receipt of such request.  Pledgee </w:t>
      </w:r>
      <w:r>
        <w:rPr>
          <w:color w:val="000000"/>
        </w:rPr>
        <w:t>may satisfy such obligation through the return of Cash Collateral or letters of credit, or both.</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jc w:val="both"/>
        <w:rPr>
          <w:spacing w:val="-3"/>
        </w:rPr>
      </w:pPr>
      <w:r>
        <w:rPr>
          <w:spacing w:val="-3"/>
        </w:rPr>
        <w:tab/>
        <w:t>(c)</w:t>
        <w:tab/>
        <w:t>Pledgor hereby grants to Pledgee a continuing first priority security interest in, and a general first lien upon and right of set-off against, all right, title and interest of Pledgor in and to all Collateral delivered to Pledgee, and all proceeds thereof.  If any Event of Default with respect to Pledgor has occurred and is continuing, Pledgee may exercise any and all rights and remedies provided under the applicable Confirmation or otherwise available under applicable law, including without limitation: (i) the rights and remedies available to a secured party; and (ii) the right to apply and set-off any Collateral held by Pledgee against and in satisfaction of any amount payable by Pledgor in respect of all Transactions.</w:t>
      </w:r>
    </w:p>
    <w:p>
      <w:pPr>
        <w:pStyle w:val="Normal"/>
        <w:rPr>
          <w:spacing w:val="-3"/>
        </w:rPr>
      </w:pPr>
      <w:r>
        <w:rPr>
          <w:spacing w:val="-3"/>
        </w:rPr>
      </w:r>
    </w:p>
    <w:p>
      <w:pPr>
        <w:pStyle w:val="Normal"/>
        <w:rPr>
          <w:spacing w:val="-3"/>
        </w:rPr>
      </w:pPr>
      <w:r>
        <w:rPr>
          <w:spacing w:val="-3"/>
        </w:rPr>
        <w:tab/>
        <w:t>(d)</w:t>
        <w:tab/>
        <w:t>For the purpose of this clause, the following definitions shall apply:</w:t>
        <w:tab/>
      </w:r>
    </w:p>
    <w:p>
      <w:pPr>
        <w:pStyle w:val="Normal"/>
        <w:rPr>
          <w:spacing w:val="-3"/>
        </w:rPr>
      </w:pPr>
      <w:r>
        <w:rPr>
          <w:spacing w:val="-3"/>
        </w:rPr>
      </w:r>
    </w:p>
    <w:p>
      <w:pPr>
        <w:pStyle w:val="Normal"/>
        <w:tabs>
          <w:tab w:val="clear" w:pos="720"/>
          <w:tab w:val="left" w:pos="0" w:leader="none"/>
        </w:tabs>
        <w:suppressAutoHyphens w:val="true"/>
        <w:jc w:val="both"/>
        <w:rPr/>
      </w:pPr>
      <w:r>
        <w:rPr>
          <w:color w:val="000000"/>
        </w:rPr>
        <w:t>“</w:t>
      </w:r>
      <w:r>
        <w:rPr>
          <w:color w:val="000000"/>
        </w:rPr>
        <w:t xml:space="preserve">Collateral” means (i) cash (“Cash Collateral”), and (ii) one or more irrevocable standby letters of credit, expiring in not less than 20 business days, issued: (A) in Pledgee’s favor, (B) by a bank which is and continues to be acceptable to Pledgee, and (C) under language in a form and in an amount acceptable to Pledgee.  No later than 20 business days prior to expiry of a letter of credit, </w:t>
      </w:r>
      <w:r>
        <w:rPr/>
        <w:t xml:space="preserve">Counterparty </w:t>
      </w:r>
      <w:r>
        <w:rPr>
          <w:color w:val="000000"/>
        </w:rPr>
        <w:t>shall instruct such issuing bank to renew or extend such letter of credit that satisfies the foregoing.  All costs relating to any letter of credit shall be for the account of Counterparty.</w:t>
      </w:r>
    </w:p>
    <w:p>
      <w:pPr>
        <w:pStyle w:val="Normal"/>
        <w:tabs>
          <w:tab w:val="clear" w:pos="720"/>
          <w:tab w:val="left" w:pos="0" w:leader="none"/>
        </w:tabs>
        <w:suppressAutoHyphens w:val="true"/>
        <w:jc w:val="both"/>
        <w:rPr>
          <w:color w:val="000000"/>
        </w:rPr>
      </w:pPr>
      <w:r>
        <w:rPr>
          <w:color w:val="000000"/>
        </w:rPr>
      </w:r>
    </w:p>
    <w:p>
      <w:pPr>
        <w:pStyle w:val="Normal"/>
        <w:tabs>
          <w:tab w:val="clear" w:pos="720"/>
          <w:tab w:val="left" w:pos="0" w:leader="none"/>
        </w:tabs>
        <w:suppressAutoHyphens w:val="true"/>
        <w:jc w:val="both"/>
        <w:rPr>
          <w:color w:val="000000"/>
        </w:rPr>
      </w:pPr>
      <w:r>
        <w:rPr>
          <w:color w:val="000000"/>
        </w:rPr>
        <w:t>“</w:t>
      </w:r>
      <w:r>
        <w:rPr>
          <w:color w:val="000000"/>
        </w:rPr>
        <w:t>Credit Rating” shall mean, with respect to a party or entity on any date of determination, the respective rating then assigned to its unsecured and senior long-term debt or deposit obligations (not supported by third party credit enhancement) by S&amp;P, Moody’s or the specified rating agency.</w:t>
      </w:r>
    </w:p>
    <w:p>
      <w:pPr>
        <w:pStyle w:val="Normal"/>
        <w:tabs>
          <w:tab w:val="clear" w:pos="720"/>
          <w:tab w:val="left" w:pos="0" w:leader="none"/>
        </w:tabs>
        <w:suppressAutoHyphens w:val="true"/>
        <w:jc w:val="both"/>
        <w:rPr>
          <w:color w:val="000000"/>
        </w:rPr>
      </w:pPr>
      <w:r>
        <w:rPr>
          <w:color w:val="000000"/>
        </w:rPr>
      </w:r>
    </w:p>
    <w:p>
      <w:pPr>
        <w:pStyle w:val="Normal"/>
        <w:jc w:val="both"/>
        <w:rPr>
          <w:color w:val="000000"/>
        </w:rPr>
      </w:pPr>
      <w:r>
        <w:rPr>
          <w:color w:val="000000"/>
        </w:rPr>
        <w:t>“</w:t>
      </w:r>
      <w:r>
        <w:rPr>
          <w:color w:val="000000"/>
        </w:rPr>
        <w:t xml:space="preserve">Exposure” means with respect to Pledgee and all Transactions, the net amount, if any, that would be payable to Pledgee by Pledgor (expressed as a positive number) or by Pledgee to Pledgor (expressed as a negative number) as determined by Pledgee in a commercially reasonable manner.    </w:t>
      </w:r>
    </w:p>
    <w:p>
      <w:pPr>
        <w:pStyle w:val="Normal"/>
        <w:jc w:val="both"/>
        <w:rPr>
          <w:color w:val="000000"/>
        </w:rPr>
      </w:pPr>
      <w:r>
        <w:rPr>
          <w:color w:val="000000"/>
        </w:rPr>
      </w:r>
    </w:p>
    <w:p>
      <w:pPr>
        <w:pStyle w:val="Normal"/>
        <w:jc w:val="both"/>
        <w:rPr>
          <w:color w:val="000000"/>
        </w:rPr>
      </w:pPr>
      <w:r>
        <w:rPr>
          <w:color w:val="000000"/>
        </w:rPr>
        <w:t>“</w:t>
      </w:r>
      <w:r>
        <w:rPr>
          <w:color w:val="000000"/>
        </w:rPr>
        <w:t>Moody’s” means Moody’s Investors Services, Inc., or its successor.</w:t>
      </w:r>
    </w:p>
    <w:p>
      <w:pPr>
        <w:pStyle w:val="Normal"/>
        <w:jc w:val="both"/>
        <w:rPr>
          <w:color w:val="000000"/>
        </w:rPr>
      </w:pPr>
      <w:r>
        <w:rPr>
          <w:color w:val="000000"/>
        </w:rPr>
      </w:r>
    </w:p>
    <w:p>
      <w:pPr>
        <w:pStyle w:val="Normal"/>
        <w:jc w:val="both"/>
        <w:rPr>
          <w:color w:val="000000"/>
        </w:rPr>
      </w:pPr>
      <w:r>
        <w:rPr>
          <w:color w:val="000000"/>
        </w:rPr>
        <w:t>“</w:t>
      </w:r>
      <w:r>
        <w:rPr>
          <w:color w:val="000000"/>
        </w:rPr>
        <w:t>Pledgee” means, either party, when that party (i) requests or is entitled to receive Collateral hereunder, or (ii) holds Collateral hereunder.</w:t>
      </w:r>
    </w:p>
    <w:p>
      <w:pPr>
        <w:pStyle w:val="Normal"/>
        <w:jc w:val="both"/>
        <w:rPr>
          <w:color w:val="000000"/>
        </w:rPr>
      </w:pPr>
      <w:r>
        <w:rPr>
          <w:color w:val="000000"/>
        </w:rPr>
      </w:r>
    </w:p>
    <w:p>
      <w:pPr>
        <w:pStyle w:val="Normal"/>
        <w:jc w:val="both"/>
        <w:rPr>
          <w:color w:val="000000"/>
        </w:rPr>
      </w:pPr>
      <w:r>
        <w:rPr>
          <w:color w:val="000000"/>
        </w:rPr>
        <w:t>“</w:t>
      </w:r>
      <w:r>
        <w:rPr>
          <w:color w:val="000000"/>
        </w:rPr>
        <w:t>Pledgor” means, either party, when that party (i) receives a request for or is required to deliver Collateral hereunder, or (ii) has delivered Collateral hereunder.</w:t>
      </w:r>
    </w:p>
    <w:p>
      <w:pPr>
        <w:pStyle w:val="Normal"/>
        <w:jc w:val="both"/>
        <w:rPr>
          <w:color w:val="000000"/>
        </w:rPr>
      </w:pPr>
      <w:r>
        <w:rPr>
          <w:color w:val="000000"/>
        </w:rPr>
      </w:r>
    </w:p>
    <w:p>
      <w:pPr>
        <w:pStyle w:val="Normal"/>
        <w:jc w:val="both"/>
        <w:rPr/>
      </w:pPr>
      <w:r>
        <w:rPr>
          <w:color w:val="000000"/>
        </w:rPr>
        <w:t xml:space="preserve">"Required Amount" means, with respect to any </w:t>
      </w:r>
      <w:r>
        <w:rPr>
          <w:spacing w:val="-3"/>
        </w:rPr>
        <w:t xml:space="preserve">business day, </w:t>
      </w:r>
      <w:r>
        <w:rPr>
          <w:color w:val="000000"/>
        </w:rPr>
        <w:t>an amount equal to the difference, if any, between: (i) Pledgee’s Exposure, and (ii) Pledgor’s Threshold; provided, however that if such difference is negative, the Required Amount shall be deemed to be zero.</w:t>
      </w:r>
    </w:p>
    <w:p>
      <w:pPr>
        <w:pStyle w:val="Normal"/>
        <w:jc w:val="both"/>
        <w:rPr>
          <w:color w:val="000000"/>
        </w:rPr>
      </w:pPr>
      <w:r>
        <w:rPr>
          <w:color w:val="000000"/>
        </w:rPr>
      </w:r>
    </w:p>
    <w:p>
      <w:pPr>
        <w:pStyle w:val="Normal"/>
        <w:rPr>
          <w:color w:val="000000"/>
        </w:rPr>
      </w:pPr>
      <w:r>
        <w:rPr>
          <w:color w:val="000000"/>
        </w:rPr>
        <w:t>“</w:t>
      </w:r>
      <w:r>
        <w:rPr>
          <w:color w:val="000000"/>
        </w:rPr>
        <w:t>S&amp;P” means the Standard &amp; Poor’s Rating Group (a division of McGraw-Hill, Inc.) or its successor.</w:t>
      </w:r>
    </w:p>
    <w:p>
      <w:pPr>
        <w:pStyle w:val="Normal"/>
        <w:rPr>
          <w:color w:val="000000"/>
        </w:rPr>
      </w:pPr>
      <w:r>
        <w:rPr>
          <w:color w:val="000000"/>
        </w:rPr>
      </w:r>
    </w:p>
    <w:p>
      <w:pPr>
        <w:pStyle w:val="Normal"/>
        <w:rPr/>
      </w:pPr>
      <w:r>
        <w:rPr>
          <w:color w:val="000000"/>
        </w:rPr>
        <w:t>“</w:t>
      </w:r>
      <w:r>
        <w:rPr>
          <w:color w:val="000000"/>
        </w:rPr>
        <w:t>Threshold” means</w:t>
      </w:r>
      <w:r>
        <w:rPr>
          <w:sz w:val="22"/>
        </w:rPr>
        <w:t>:</w:t>
      </w:r>
    </w:p>
    <w:p>
      <w:pPr>
        <w:pStyle w:val="Normal"/>
        <w:ind w:start="720" w:end="0"/>
        <w:rPr>
          <w:sz w:val="22"/>
        </w:rPr>
      </w:pPr>
      <w:r>
        <w:rPr>
          <w:sz w:val="22"/>
        </w:rPr>
      </w:r>
    </w:p>
    <w:p>
      <w:pPr>
        <w:pStyle w:val="Normal"/>
        <w:numPr>
          <w:ilvl w:val="0"/>
          <w:numId w:val="2"/>
        </w:numPr>
        <w:rPr>
          <w:sz w:val="22"/>
        </w:rPr>
      </w:pPr>
      <w:r>
        <w:rPr>
          <w:sz w:val="22"/>
        </w:rPr>
        <w:t>with respect to Counterparty, at any time, the lesser of (1) the amount specified in the table below under the relevant heading opposite the lower of the ratings at the time assigned by S&amp;P or Moody’s to the Credit Rating of Counterparty’s guarantor, Enron Corporation (“Enron’s Guarantor”) or (2) 80% of the maximum aggregate liability under the guarantee provided by Enron’s Guarantor;</w:t>
      </w:r>
    </w:p>
    <w:p>
      <w:pPr>
        <w:pStyle w:val="Normal"/>
        <w:ind w:start="1440" w:end="0"/>
        <w:rPr>
          <w:sz w:val="22"/>
        </w:rPr>
      </w:pPr>
      <w:r>
        <w:rPr>
          <w:sz w:val="22"/>
        </w:rPr>
      </w:r>
    </w:p>
    <w:p>
      <w:pPr>
        <w:pStyle w:val="Normal"/>
        <w:numPr>
          <w:ilvl w:val="0"/>
          <w:numId w:val="2"/>
        </w:numPr>
        <w:rPr>
          <w:sz w:val="22"/>
        </w:rPr>
      </w:pPr>
      <w:r>
        <w:rPr>
          <w:sz w:val="22"/>
        </w:rPr>
        <w:t>with respect to Morgan Stanley, at any time the amount specified in the table below under the relevant heading opposite the lower of the ratings at the time assigned by S&amp;P or Moody’s to the Credit Rating of Morgan Stanley’s guarantor, Morgan Stanley Dean Witter &amp; Co. (“Morgan Stanley’s Guarantor”);</w:t>
      </w:r>
    </w:p>
    <w:p>
      <w:pPr>
        <w:pStyle w:val="Normal"/>
        <w:rPr>
          <w:sz w:val="22"/>
        </w:rPr>
      </w:pPr>
      <w:r>
        <w:rPr>
          <w:sz w:val="22"/>
        </w:rPr>
      </w:r>
    </w:p>
    <w:p>
      <w:pPr>
        <w:pStyle w:val="Normal"/>
        <w:ind w:start="1440" w:end="0"/>
        <w:rPr>
          <w:sz w:val="22"/>
        </w:rPr>
      </w:pPr>
      <w:r>
        <w:rPr>
          <w:sz w:val="22"/>
        </w:rPr>
        <w:t>provided that (a) if the Credit Rating of Enron’s Guarantor or Morgan Stanley’s  Guarantor is no longer rated by one of S&amp;P or Moody’s, the Threshold with respect to Enron or Morgan Stanley, as the case may be, will be zero and (b) if a Material Adverse Change or an Event of Default with respect to Enron or Morgan Stanley has occurred and is continuing the Threshold with respect to such party shall be zero.</w:t>
      </w:r>
    </w:p>
    <w:p>
      <w:pPr>
        <w:pStyle w:val="Normal"/>
        <w:ind w:start="1440" w:end="0"/>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1548"/>
        <w:gridCol w:w="2436"/>
        <w:gridCol w:w="2436"/>
        <w:gridCol w:w="2436"/>
      </w:tblGrid>
      <w:tr>
        <w:trPr/>
        <w:tc>
          <w:tcPr>
            <w:tcW w:w="1548" w:type="dxa"/>
            <w:tcBorders/>
          </w:tcPr>
          <w:p>
            <w:pPr>
              <w:pStyle w:val="Normal"/>
              <w:snapToGrid w:val="false"/>
              <w:rPr>
                <w:sz w:val="22"/>
              </w:rPr>
            </w:pPr>
            <w:r>
              <w:rPr>
                <w:sz w:val="22"/>
              </w:rPr>
            </w:r>
          </w:p>
        </w:tc>
        <w:tc>
          <w:tcPr>
            <w:tcW w:w="2436" w:type="dxa"/>
            <w:tcBorders/>
          </w:tcPr>
          <w:p>
            <w:pPr>
              <w:pStyle w:val="Heading1"/>
              <w:ind w:hanging="0" w:start="0"/>
              <w:rPr>
                <w:sz w:val="22"/>
              </w:rPr>
            </w:pPr>
            <w:r>
              <w:rPr>
                <w:sz w:val="22"/>
              </w:rPr>
              <w:t>Moody’s Rating</w:t>
            </w:r>
          </w:p>
        </w:tc>
        <w:tc>
          <w:tcPr>
            <w:tcW w:w="2436" w:type="dxa"/>
            <w:tcBorders/>
          </w:tcPr>
          <w:p>
            <w:pPr>
              <w:pStyle w:val="Heading1"/>
              <w:ind w:hanging="0" w:start="0"/>
              <w:rPr>
                <w:sz w:val="22"/>
              </w:rPr>
            </w:pPr>
            <w:r>
              <w:rPr>
                <w:sz w:val="22"/>
              </w:rPr>
              <w:t>S&amp;P Rating</w:t>
            </w:r>
          </w:p>
        </w:tc>
        <w:tc>
          <w:tcPr>
            <w:tcW w:w="2436" w:type="dxa"/>
            <w:tcBorders/>
          </w:tcPr>
          <w:p>
            <w:pPr>
              <w:pStyle w:val="Heading1"/>
              <w:ind w:hanging="0" w:start="0"/>
              <w:rPr>
                <w:sz w:val="22"/>
              </w:rPr>
            </w:pPr>
            <w:r>
              <w:rPr>
                <w:sz w:val="22"/>
              </w:rPr>
              <w:t>Threshold</w:t>
            </w:r>
          </w:p>
        </w:tc>
      </w:tr>
      <w:tr>
        <w:trPr/>
        <w:tc>
          <w:tcPr>
            <w:tcW w:w="1548" w:type="dxa"/>
            <w:tcBorders/>
          </w:tcPr>
          <w:p>
            <w:pPr>
              <w:pStyle w:val="Normal"/>
              <w:snapToGrid w:val="false"/>
              <w:rPr>
                <w:sz w:val="22"/>
              </w:rPr>
            </w:pPr>
            <w:r>
              <w:rPr>
                <w:sz w:val="22"/>
              </w:rPr>
            </w:r>
          </w:p>
        </w:tc>
        <w:tc>
          <w:tcPr>
            <w:tcW w:w="2436" w:type="dxa"/>
            <w:tcBorders/>
          </w:tcPr>
          <w:p>
            <w:pPr>
              <w:pStyle w:val="Normal"/>
              <w:snapToGrid w:val="false"/>
              <w:rPr>
                <w:sz w:val="22"/>
              </w:rPr>
            </w:pPr>
            <w:r>
              <w:rPr>
                <w:sz w:val="22"/>
              </w:rPr>
            </w:r>
          </w:p>
        </w:tc>
        <w:tc>
          <w:tcPr>
            <w:tcW w:w="2436" w:type="dxa"/>
            <w:tcBorders/>
          </w:tcPr>
          <w:p>
            <w:pPr>
              <w:pStyle w:val="Normal"/>
              <w:snapToGrid w:val="false"/>
              <w:rPr>
                <w:sz w:val="22"/>
              </w:rPr>
            </w:pPr>
            <w:r>
              <w:rPr>
                <w:sz w:val="22"/>
              </w:rPr>
            </w:r>
          </w:p>
        </w:tc>
        <w:tc>
          <w:tcPr>
            <w:tcW w:w="2436" w:type="dxa"/>
            <w:tcBorders/>
          </w:tcPr>
          <w:p>
            <w:pPr>
              <w:pStyle w:val="Normal"/>
              <w:snapToGrid w:val="false"/>
              <w:rPr>
                <w:sz w:val="22"/>
              </w:rPr>
            </w:pPr>
            <w:r>
              <w:rPr>
                <w:sz w:val="22"/>
              </w:rPr>
            </w:r>
          </w:p>
        </w:tc>
      </w:tr>
      <w:tr>
        <w:trPr/>
        <w:tc>
          <w:tcPr>
            <w:tcW w:w="1548" w:type="dxa"/>
            <w:tcBorders/>
          </w:tcPr>
          <w:p>
            <w:pPr>
              <w:pStyle w:val="Normal"/>
              <w:snapToGrid w:val="false"/>
              <w:rPr>
                <w:sz w:val="22"/>
              </w:rPr>
            </w:pPr>
            <w:r>
              <w:rPr>
                <w:sz w:val="22"/>
              </w:rPr>
            </w:r>
          </w:p>
        </w:tc>
        <w:tc>
          <w:tcPr>
            <w:tcW w:w="2436" w:type="dxa"/>
            <w:tcBorders/>
          </w:tcPr>
          <w:p>
            <w:pPr>
              <w:pStyle w:val="Normal"/>
              <w:rPr>
                <w:sz w:val="22"/>
              </w:rPr>
            </w:pPr>
            <w:r>
              <w:rPr>
                <w:sz w:val="22"/>
              </w:rPr>
              <w:t>Baa1 or above</w:t>
            </w:r>
          </w:p>
        </w:tc>
        <w:tc>
          <w:tcPr>
            <w:tcW w:w="2436" w:type="dxa"/>
            <w:tcBorders/>
          </w:tcPr>
          <w:p>
            <w:pPr>
              <w:pStyle w:val="Normal"/>
              <w:rPr>
                <w:sz w:val="22"/>
              </w:rPr>
            </w:pPr>
            <w:r>
              <w:rPr>
                <w:sz w:val="22"/>
              </w:rPr>
              <w:t>BBB+ or above</w:t>
            </w:r>
          </w:p>
        </w:tc>
        <w:tc>
          <w:tcPr>
            <w:tcW w:w="2436" w:type="dxa"/>
            <w:tcBorders/>
          </w:tcPr>
          <w:p>
            <w:pPr>
              <w:pStyle w:val="Normal"/>
              <w:rPr>
                <w:sz w:val="22"/>
              </w:rPr>
            </w:pPr>
            <w:r>
              <w:rPr>
                <w:sz w:val="22"/>
              </w:rPr>
              <w:t>$15,000,000</w:t>
            </w:r>
          </w:p>
        </w:tc>
      </w:tr>
      <w:tr>
        <w:trPr/>
        <w:tc>
          <w:tcPr>
            <w:tcW w:w="1548" w:type="dxa"/>
            <w:tcBorders/>
          </w:tcPr>
          <w:p>
            <w:pPr>
              <w:pStyle w:val="Normal"/>
              <w:snapToGrid w:val="false"/>
              <w:rPr>
                <w:sz w:val="22"/>
              </w:rPr>
            </w:pPr>
            <w:r>
              <w:rPr>
                <w:sz w:val="22"/>
              </w:rPr>
            </w:r>
          </w:p>
        </w:tc>
        <w:tc>
          <w:tcPr>
            <w:tcW w:w="2436" w:type="dxa"/>
            <w:tcBorders/>
          </w:tcPr>
          <w:p>
            <w:pPr>
              <w:pStyle w:val="Normal"/>
              <w:rPr>
                <w:sz w:val="22"/>
              </w:rPr>
            </w:pPr>
            <w:r>
              <w:rPr>
                <w:sz w:val="22"/>
              </w:rPr>
              <w:t>Baa2</w:t>
            </w:r>
          </w:p>
        </w:tc>
        <w:tc>
          <w:tcPr>
            <w:tcW w:w="2436" w:type="dxa"/>
            <w:tcBorders/>
          </w:tcPr>
          <w:p>
            <w:pPr>
              <w:pStyle w:val="Normal"/>
              <w:rPr>
                <w:sz w:val="22"/>
              </w:rPr>
            </w:pPr>
            <w:r>
              <w:rPr>
                <w:sz w:val="22"/>
              </w:rPr>
              <w:t>BBB</w:t>
            </w:r>
          </w:p>
        </w:tc>
        <w:tc>
          <w:tcPr>
            <w:tcW w:w="2436" w:type="dxa"/>
            <w:tcBorders/>
          </w:tcPr>
          <w:p>
            <w:pPr>
              <w:pStyle w:val="Normal"/>
              <w:rPr>
                <w:sz w:val="22"/>
              </w:rPr>
            </w:pPr>
            <w:r>
              <w:rPr>
                <w:sz w:val="22"/>
              </w:rPr>
              <w:t>$5,000,000</w:t>
            </w:r>
          </w:p>
        </w:tc>
      </w:tr>
      <w:tr>
        <w:trPr/>
        <w:tc>
          <w:tcPr>
            <w:tcW w:w="1548" w:type="dxa"/>
            <w:tcBorders/>
          </w:tcPr>
          <w:p>
            <w:pPr>
              <w:pStyle w:val="Normal"/>
              <w:snapToGrid w:val="false"/>
              <w:rPr>
                <w:sz w:val="22"/>
              </w:rPr>
            </w:pPr>
            <w:r>
              <w:rPr>
                <w:sz w:val="22"/>
              </w:rPr>
            </w:r>
          </w:p>
        </w:tc>
        <w:tc>
          <w:tcPr>
            <w:tcW w:w="2436" w:type="dxa"/>
            <w:tcBorders/>
          </w:tcPr>
          <w:p>
            <w:pPr>
              <w:pStyle w:val="Normal"/>
              <w:rPr>
                <w:sz w:val="22"/>
              </w:rPr>
            </w:pPr>
            <w:r>
              <w:rPr>
                <w:sz w:val="22"/>
              </w:rPr>
              <w:t>Baa3 or below (or rating suspended or withdrawn by both Moody’s and S&amp;P)</w:t>
            </w:r>
          </w:p>
        </w:tc>
        <w:tc>
          <w:tcPr>
            <w:tcW w:w="2436" w:type="dxa"/>
            <w:tcBorders/>
          </w:tcPr>
          <w:p>
            <w:pPr>
              <w:pStyle w:val="Normal"/>
              <w:rPr>
                <w:sz w:val="22"/>
              </w:rPr>
            </w:pPr>
            <w:r>
              <w:rPr>
                <w:sz w:val="22"/>
              </w:rPr>
              <w:t>BBB- or below (or rating suspended or withdrawn by both Moody’s and S&amp;P)</w:t>
            </w:r>
          </w:p>
        </w:tc>
        <w:tc>
          <w:tcPr>
            <w:tcW w:w="2436" w:type="dxa"/>
            <w:tcBorders/>
          </w:tcPr>
          <w:p>
            <w:pPr>
              <w:pStyle w:val="Normal"/>
              <w:rPr>
                <w:sz w:val="22"/>
              </w:rPr>
            </w:pPr>
            <w:r>
              <w:rPr>
                <w:sz w:val="22"/>
              </w:rPr>
              <w:t>0 (zero)”</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2001-10-24T15:56:00Z</dcterms:created>
  <dc:creator>bethng</dc:creator>
  <dc:description/>
  <dc:language>en-CA</dc:language>
  <cp:lastModifiedBy>bmccoy</cp:lastModifiedBy>
  <cp:lastPrinted>2001-10-24T14:19:00Z</cp:lastPrinted>
  <dcterms:modified xsi:type="dcterms:W3CDTF">2001-10-24T15:56:00Z</dcterms:modified>
  <cp:revision>2</cp:revision>
  <dc:subject/>
  <dc:title>#)</dc:title>
</cp:coreProperties>
</file>