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rPr/>
      </w:pPr>
      <w:r>
        <w:rPr/>
        <w:t>Enron Corporation Paper</w:t>
      </w:r>
    </w:p>
    <w:p>
      <w:pPr>
        <w:pStyle w:val="BodyText"/>
        <w:rPr/>
      </w:pPr>
      <w:r>
        <w:rPr/>
      </w:r>
    </w:p>
    <w:p>
      <w:pPr>
        <w:pStyle w:val="BodyText"/>
        <w:ind w:hanging="0" w:end="0"/>
        <w:rPr/>
      </w:pPr>
      <w:r>
        <w:rPr/>
        <w:t>Vince Kaminski, PhD (Director of Research, Enron Corporation, Houston, TX)</w:t>
      </w:r>
    </w:p>
    <w:p>
      <w:pPr>
        <w:pStyle w:val="BodyText"/>
        <w:ind w:hanging="0" w:end="0"/>
        <w:rPr/>
      </w:pPr>
      <w:r>
        <w:rPr/>
        <w:t>Stinson Gibner, PhD (Vice President—Research, Enron Corporation, Houston, TX)</w:t>
      </w:r>
    </w:p>
    <w:p>
      <w:pPr>
        <w:pStyle w:val="BodyText"/>
        <w:ind w:hanging="0" w:end="0"/>
        <w:rPr/>
      </w:pPr>
      <w:r>
        <w:rPr/>
        <w:t>John Martin, PhD (Carr P. Collins Chair of Finance, Baylor University, Waco, TX)</w:t>
      </w:r>
    </w:p>
    <w:p>
      <w:pPr>
        <w:pStyle w:val="BodyText"/>
        <w:ind w:hanging="0" w:end="0"/>
        <w:rPr/>
      </w:pPr>
      <w:r>
        <w:rPr/>
      </w:r>
    </w:p>
    <w:p>
      <w:pPr>
        <w:pStyle w:val="Heading1"/>
        <w:rPr/>
      </w:pPr>
      <w:r>
        <w:rPr/>
        <w:t>Objective</w:t>
      </w:r>
    </w:p>
    <w:p>
      <w:pPr>
        <w:pStyle w:val="Normal"/>
        <w:rPr/>
      </w:pPr>
      <w:r>
        <w:rPr/>
        <w:t xml:space="preserve">Write a brief (15-20 page) paper that documents Enron's basic business model and business practices in the energy industry.  </w:t>
      </w:r>
    </w:p>
    <w:p>
      <w:pPr>
        <w:pStyle w:val="Heading2"/>
        <w:rPr/>
      </w:pPr>
      <w:r>
        <w:rPr/>
        <w:t>Approach to risk management</w:t>
      </w:r>
    </w:p>
    <w:p>
      <w:pPr>
        <w:pStyle w:val="Normal"/>
        <w:rPr/>
      </w:pPr>
      <w:r>
        <w:rPr/>
        <w:t xml:space="preserve">The Stulz (1996) paper referenced below provides a view of risk management that is somewhat non-traditional in academic finance circles.  Specifically, he argues against the notion of thinking about risk management solely as a means for reducing variance in outcomes.  Stulz recommends that firms use risk management as the basis for </w:t>
      </w:r>
      <w:r>
        <w:rPr>
          <w:i/>
          <w:iCs/>
        </w:rPr>
        <w:t>eliminating the costly lower-tail outcomes while preserving as much of the upside potential from the firm's investments.</w:t>
      </w:r>
      <w:r>
        <w:rPr/>
        <w:t xml:space="preserve">  </w:t>
      </w:r>
    </w:p>
    <w:p>
      <w:pPr>
        <w:pStyle w:val="Normal"/>
        <w:rPr/>
      </w:pPr>
      <w:r>
        <w:rPr/>
      </w:r>
    </w:p>
    <w:p>
      <w:pPr>
        <w:pStyle w:val="Normal"/>
        <w:rPr/>
      </w:pPr>
      <w:r>
        <w:rPr/>
        <w:t xml:space="preserve">We need to document Enron's approach to risk management and compare/contrast it with that of competitors in the energy business.  To the extent that Stulz' ideas are appropriate we can build upon them through the use of example investments that Enron has undertaken. </w:t>
      </w:r>
    </w:p>
    <w:p>
      <w:pPr>
        <w:pStyle w:val="Heading1"/>
        <w:rPr/>
      </w:pPr>
      <w:r>
        <w:rPr/>
        <w:t>References</w:t>
      </w:r>
    </w:p>
    <w:p>
      <w:pPr>
        <w:pStyle w:val="Normal"/>
        <w:rPr/>
      </w:pPr>
      <w:r>
        <w:rPr/>
        <w:t>Not all of these references will be useful.  However, the first two cases were very useful to me in getting a grasp of Enron's history.</w:t>
      </w:r>
    </w:p>
    <w:p>
      <w:pPr>
        <w:pStyle w:val="Heading2"/>
        <w:rPr/>
      </w:pPr>
      <w:r>
        <w:rPr/>
        <w:t>HBS Cases—Enron Corporation</w:t>
      </w:r>
    </w:p>
    <w:p>
      <w:pPr>
        <w:pStyle w:val="Normal"/>
        <w:spacing w:before="120" w:after="120"/>
        <w:rPr/>
      </w:pPr>
      <w:r>
        <w:rPr/>
        <w:t>Sanjay Bhatnagar and Peter Tufano, 1995, Enron Gas Services, 9-294-076, Harvard Business School Publishing, Boston, MA.</w:t>
      </w:r>
    </w:p>
    <w:p>
      <w:pPr>
        <w:pStyle w:val="Normal"/>
        <w:spacing w:before="120" w:after="120"/>
        <w:rPr/>
      </w:pPr>
      <w:r>
        <w:rPr/>
        <w:t>Stephen Lynagh and Sanjiv R. Das, 1997, Enron Corp.—Credit sensitive notes, 9-297-099, Harvard Business School Publishing, Boston, MA.</w:t>
      </w:r>
    </w:p>
    <w:p>
      <w:pPr>
        <w:pStyle w:val="Normal"/>
        <w:spacing w:before="120" w:after="120"/>
        <w:rPr/>
      </w:pPr>
      <w:r>
        <w:rPr/>
        <w:t>V. Kasturi Rangan and Krishna G. Palepu, 1998, Enron development corporation: The Dibhol power project in Maharashtra, India (A), 9-596-099, Harvard Business School Publishing, Boston, MA.</w:t>
      </w:r>
    </w:p>
    <w:p>
      <w:pPr>
        <w:pStyle w:val="Normal"/>
        <w:spacing w:before="120" w:after="120"/>
        <w:rPr/>
      </w:pPr>
      <w:r>
        <w:rPr/>
        <w:t>V. Kasturi Rangan and Krishna G. Palepu, 1996, Enron development corporation: The Dibhol power project in Maharashtra, India (B), 9-596-100, Harvard Business School Publishing, Boston, MA.</w:t>
      </w:r>
      <w:r>
        <w:br w:type="page"/>
      </w:r>
    </w:p>
    <w:p>
      <w:pPr>
        <w:pStyle w:val="Heading2"/>
        <w:rPr/>
      </w:pPr>
      <w:r>
        <w:rPr/>
        <w:t>Risk Management Articles</w:t>
      </w:r>
    </w:p>
    <w:p>
      <w:pPr>
        <w:pStyle w:val="Normal"/>
        <w:rPr/>
      </w:pPr>
      <w:r>
        <w:rPr/>
      </w:r>
    </w:p>
    <w:p>
      <w:pPr>
        <w:pStyle w:val="Normal"/>
        <w:spacing w:before="120" w:after="120"/>
        <w:rPr/>
      </w:pPr>
      <w:r>
        <w:rPr/>
        <w:t>Hendrik Bessembinder and Michael L. Lemmon, 1999, Pricing and gains from trade in competitive electric power markets, Arizona State University working paper (February).</w:t>
      </w:r>
    </w:p>
    <w:p>
      <w:pPr>
        <w:pStyle w:val="Normal"/>
        <w:spacing w:before="120" w:after="120"/>
        <w:rPr/>
      </w:pPr>
      <w:r>
        <w:rPr/>
        <w:t xml:space="preserve">Karan Bhanot, 2000, Behavior of power prices—Implications for the valuation and hedging of financial contracts, </w:t>
      </w:r>
      <w:r>
        <w:rPr>
          <w:u w:val="single"/>
        </w:rPr>
        <w:t>Journal of Risk</w:t>
      </w:r>
      <w:r>
        <w:rPr/>
        <w:t xml:space="preserve"> (Spring).</w:t>
      </w:r>
    </w:p>
    <w:p>
      <w:pPr>
        <w:pStyle w:val="Normal"/>
        <w:spacing w:before="120" w:after="120"/>
        <w:rPr/>
      </w:pPr>
      <w:r>
        <w:rPr/>
        <w:t>George Chacko, Peter Tufano, and Geoffrey Verter, 2000, Cephalon, Inc.—Taking risk management theory seriously, NBER working paper #7748 (</w:t>
      </w:r>
      <w:hyperlink r:id="rId2">
        <w:r>
          <w:rPr>
            <w:rStyle w:val="Hyperlink"/>
          </w:rPr>
          <w:t>http://www.nber.org/papers/w7748</w:t>
        </w:r>
      </w:hyperlink>
      <w:r>
        <w:rPr/>
        <w:t>).</w:t>
      </w:r>
    </w:p>
    <w:p>
      <w:pPr>
        <w:pStyle w:val="Normal"/>
        <w:spacing w:before="120" w:after="120"/>
        <w:rPr/>
      </w:pPr>
      <w:r>
        <w:rPr/>
        <w:t>Christopher C. Geczy, Bernadette A. Minton, and Catherine Schrand, 1999, Choices among alternative risk management strategies:  Evidence from the natural gas industry, University of Pennsylvania working paper (November).</w:t>
      </w:r>
    </w:p>
    <w:p>
      <w:pPr>
        <w:pStyle w:val="Normal"/>
        <w:spacing w:before="120" w:after="120"/>
        <w:rPr/>
      </w:pPr>
      <w:r>
        <w:rPr/>
        <w:t xml:space="preserve">Henry T. C. Hu, 1996, Behind the corporate hedge:  Information and the limits of "shareholder wealth maximization", </w:t>
      </w:r>
      <w:r>
        <w:rPr>
          <w:u w:val="single"/>
        </w:rPr>
        <w:t>Journal of Applied Corporate Finance</w:t>
      </w:r>
      <w:r>
        <w:rPr/>
        <w:t xml:space="preserve"> (Fall), 39-51.</w:t>
      </w:r>
    </w:p>
    <w:p>
      <w:pPr>
        <w:pStyle w:val="Normal"/>
        <w:spacing w:before="120" w:after="120"/>
        <w:rPr/>
      </w:pPr>
      <w:r>
        <w:rPr/>
        <w:t>Alberto Moel and Peter Tufano, 2000, When are real options exercised?  An empirical study of mine closings, Harvard Business School working paper, (June 21).</w:t>
      </w:r>
    </w:p>
    <w:p>
      <w:pPr>
        <w:pStyle w:val="Normal"/>
        <w:spacing w:before="120" w:after="120"/>
        <w:rPr/>
      </w:pPr>
      <w:r>
        <w:rPr/>
        <w:t>Shivaram Rajgopal and Morton Pincus, 1999, The interaction of accounting policy choice and hedging:  Evidence from oil and gas firms, University of Washington working paper (July).</w:t>
      </w:r>
    </w:p>
    <w:p>
      <w:pPr>
        <w:pStyle w:val="Normal"/>
        <w:spacing w:before="120" w:after="120"/>
        <w:rPr/>
      </w:pPr>
      <w:r>
        <w:rPr/>
        <w:t>Shivaram Rajgopal and Mohan Venkatachalam, 1999, Are earnings sensitivity measures risk-relevant?  The case of oil price risk for the petroleum refining industry, University of Washington working paper (August).</w:t>
      </w:r>
    </w:p>
    <w:p>
      <w:pPr>
        <w:pStyle w:val="Normal"/>
        <w:spacing w:before="120" w:after="120"/>
        <w:rPr/>
      </w:pPr>
      <w:r>
        <w:rPr/>
        <w:t xml:space="preserve">Rene M. Stulz, 1996, Rethinking risk management, </w:t>
      </w:r>
      <w:r>
        <w:rPr>
          <w:u w:val="single"/>
        </w:rPr>
        <w:t>Journal of Applied Corporate Finance</w:t>
      </w:r>
      <w:r>
        <w:rPr/>
        <w:t xml:space="preserve"> (Fall), 8-24.</w:t>
      </w:r>
    </w:p>
    <w:p>
      <w:pPr>
        <w:pStyle w:val="Heading2"/>
        <w:rPr/>
      </w:pPr>
      <w:r>
        <w:rPr/>
        <w:t>Popular Press Stories on Enron Business Activities</w:t>
      </w:r>
    </w:p>
    <w:p>
      <w:pPr>
        <w:pStyle w:val="Normal"/>
        <w:spacing w:before="120" w:after="120"/>
        <w:rPr/>
      </w:pPr>
      <w:r>
        <w:rPr/>
        <w:t xml:space="preserve">Peter Coy, 1999, Exploiting uncertainty:  The "real-options" revolution in decision-making, </w:t>
      </w:r>
      <w:r>
        <w:rPr>
          <w:u w:val="single"/>
        </w:rPr>
        <w:t>BusinessWeek</w:t>
      </w:r>
      <w:r>
        <w:rPr/>
        <w:t xml:space="preserve"> (June 7).</w:t>
      </w:r>
    </w:p>
    <w:p>
      <w:pPr>
        <w:pStyle w:val="Normal"/>
        <w:spacing w:before="120" w:after="120"/>
        <w:rPr/>
      </w:pPr>
      <w:r>
        <w:rPr/>
        <w:t>There's lots of other stuff to draw from here I'm sure.  Perhaps Enron has its "favorites" and we could use them.</w:t>
      </w:r>
    </w:p>
    <w:p>
      <w:pPr>
        <w:pStyle w:val="Normal"/>
        <w:spacing w:before="120" w:after="120"/>
        <w:rPr/>
      </w:pPr>
      <w:r>
        <w:rPr/>
      </w:r>
    </w:p>
    <w:p>
      <w:pPr>
        <w:pStyle w:val="Normal"/>
        <w:spacing w:before="120" w:after="120"/>
        <w:rPr/>
      </w:pPr>
      <w:r>
        <w:rPr/>
      </w:r>
    </w:p>
    <w:p>
      <w:pPr>
        <w:pStyle w:val="Normal"/>
        <w:rPr/>
      </w:pPr>
      <w:r>
        <w:rPr/>
      </w:r>
    </w:p>
    <w:p>
      <w:pPr>
        <w:pStyle w:val="BodyText"/>
        <w:ind w:hanging="0" w:end="0"/>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ber.org/papers/w7748"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2000-09-19T12:20:00Z</dcterms:created>
  <dc:creator>Casey Computer Center</dc:creator>
  <dc:description/>
  <dc:language>en-CA</dc:language>
  <cp:lastModifiedBy>Casey Computer Center</cp:lastModifiedBy>
  <dcterms:modified xsi:type="dcterms:W3CDTF">2000-09-19T13:04:00Z</dcterms:modified>
  <cp:revision>4</cp:revision>
  <dc:subject/>
  <dc:title>Enron Corporation Paper</dc:title>
</cp:coreProperties>
</file>