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Agreement (the "Guaranty"), dated effective as of </w:t>
      </w:r>
      <w:r>
        <w:rPr/>
        <w:t>___________, 2001</w:t>
      </w:r>
      <w:r>
        <w:rPr>
          <w:color w:val="000000"/>
        </w:rPr>
        <w:t xml:space="preserve"> is made and entered into by Enron Corp., an Oregon corporation ("Guarantor") in favor of Transcontinental Gas Pipe Line Corporation, a Delaware corporation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WHEREAS, Counterparty has agreed to enter into with  ___________________ (the “Company"), a subsidiary of the Guarantor, a precedent agreement (“Precedent Agreement”) for firm transportation service under Counterparty’s Momentum Expansion Project for 87,500 dekatherms of natural gas per day and, pursuant to the terms of the Precedent Agreement, a service agreement (“Service Agreement”) under Counterparty’s Rate Schedule FT for such firm transportation service (the Service Agreement and the Precedent Agreement are referred to collectively herein as the “Agreement”).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Subject to the provisions hereof, (a) Guarantor hereby irrevocably and unconditionally guarantees the timely payment and as specifically set forth in Section 1(c), performance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autoSpaceDE w:val="false"/>
        <w:spacing w:lineRule="atLeast" w:line="240"/>
        <w:jc w:val="both"/>
        <w:rPr>
          <w:color w:val="000000"/>
        </w:rPr>
      </w:pPr>
      <w:r>
        <w:rPr>
          <w:color w:val="000000"/>
        </w:rPr>
      </w:r>
    </w:p>
    <w:p>
      <w:pPr>
        <w:pStyle w:val="Normal"/>
        <w:autoSpaceDE w:val="false"/>
        <w:spacing w:lineRule="atLeast" w:line="240"/>
        <w:ind w:firstLine="720" w:end="0"/>
        <w:jc w:val="both"/>
        <w:rPr>
          <w:color w:val="000000"/>
        </w:rPr>
      </w:pPr>
      <w:r>
        <w:rPr>
          <w:color w:val="000000"/>
        </w:rPr>
        <w:t>(a)        Guarantor's liability hereunder shall be and is specifically limited to payments required to be made under the Agreement or payments for breach of any Obligations under the Agreement (even if such payments are deemed to be damages) and, except for transportation charges due under the Agreement (which include profits components) and except to the extent otherwise 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ind w:firstLine="720" w:end="0"/>
        <w:jc w:val="both"/>
        <w:rPr/>
      </w:pPr>
      <w:r>
        <w:rPr>
          <w:color w:val="000000"/>
        </w:rPr>
        <w:t xml:space="preserve">(b)        The aggregate amount covered by this Guaranty shall not exceed </w:t>
      </w:r>
      <w:r>
        <w:rPr>
          <w:color w:val="0000FF"/>
        </w:rPr>
        <w:t>$ ____________</w:t>
      </w:r>
      <w:r>
        <w:rPr>
          <w:color w:val="000000"/>
        </w:rPr>
        <w:t xml:space="preserve"> (</w:t>
      </w:r>
      <w:r>
        <w:rPr>
          <w:color w:val="0000FF"/>
        </w:rPr>
        <w:t>_______</w:t>
      </w:r>
      <w:r>
        <w:rPr>
          <w:color w:val="000000"/>
        </w:rPr>
        <w:t xml:space="preserve"> U.S. Dollars).</w:t>
      </w:r>
    </w:p>
    <w:p>
      <w:pPr>
        <w:pStyle w:val="Normal"/>
        <w:autoSpaceDE w:val="false"/>
        <w:spacing w:lineRule="atLeast" w:line="240"/>
        <w:jc w:val="both"/>
        <w:rPr>
          <w:color w:val="000000"/>
        </w:rPr>
      </w:pPr>
      <w:r>
        <w:rPr>
          <w:color w:val="000000"/>
        </w:rPr>
      </w:r>
    </w:p>
    <w:p>
      <w:pPr>
        <w:pStyle w:val="Normal"/>
        <w:autoSpaceDE w:val="false"/>
        <w:spacing w:lineRule="atLeast" w:line="240"/>
        <w:ind w:firstLine="720" w:end="0"/>
        <w:jc w:val="both"/>
        <w:rPr>
          <w:color w:val="000000"/>
        </w:rPr>
      </w:pPr>
      <w:r>
        <w:rPr>
          <w:color w:val="000000"/>
        </w:rPr>
        <w:t>(c)</w:t>
        <w:tab/>
        <w:t>Guarantor hereby irrevocably and unconditionally guarantees performance of the Company with respect to those obligations of the Company set forth in Section 2 of the Precedent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  I</w:t>
      </w:r>
      <w:r>
        <w:rPr>
          <w:color w:val="000000"/>
          <w:szCs w:val="20"/>
        </w:rPr>
        <w:t>f Guarantor fails to make timely payment of the amount of the</w:t>
      </w:r>
      <w:r>
        <w:rPr>
          <w:color w:val="000000"/>
        </w:rPr>
        <w:t xml:space="preserve"> </w:t>
      </w:r>
      <w:r>
        <w:rPr>
          <w:color w:val="000000"/>
          <w:szCs w:val="20"/>
        </w:rPr>
        <w:t>Payment Demand, then Counterparty shall be entitled to collect the amount of the Payment Demand together with interest calculated in accordance with</w:t>
      </w:r>
      <w:r>
        <w:rPr>
          <w:color w:val="000000"/>
        </w:rPr>
        <w:t xml:space="preserve"> </w:t>
      </w:r>
      <w:r>
        <w:rPr>
          <w:color w:val="000000"/>
          <w:szCs w:val="20"/>
        </w:rPr>
        <w:t>Section 7(c) of the General Terms and Conditions of Counterparty's FERC Gas</w:t>
      </w:r>
      <w:r>
        <w:rPr>
          <w:color w:val="000000"/>
        </w:rPr>
        <w:t xml:space="preserve"> </w:t>
      </w:r>
      <w:r>
        <w:rPr>
          <w:color w:val="000000"/>
          <w:szCs w:val="20"/>
        </w:rPr>
        <w:t>Tariff as amended from time-to-time.  Notwithstanding the foregoing,</w:t>
      </w:r>
      <w:r>
        <w:rPr>
          <w:color w:val="000000"/>
        </w:rPr>
        <w:t xml:space="preserve"> </w:t>
      </w:r>
      <w:r>
        <w:rPr>
          <w:color w:val="000000"/>
          <w:szCs w:val="20"/>
        </w:rPr>
        <w:t>Counterparty shall not be entitled to collect such interest, to the extent</w:t>
      </w:r>
      <w:r>
        <w:rPr>
          <w:color w:val="000000"/>
        </w:rPr>
        <w:t xml:space="preserve"> </w:t>
      </w:r>
      <w:r>
        <w:rPr>
          <w:color w:val="000000"/>
          <w:szCs w:val="20"/>
        </w:rPr>
        <w:t>such interest has already been assessed due to Company's failure to pay any</w:t>
      </w:r>
      <w:r>
        <w:rPr>
          <w:color w:val="000000"/>
        </w:rPr>
        <w:t xml:space="preserve"> </w:t>
      </w:r>
      <w:r>
        <w:rPr>
          <w:color w:val="000000"/>
          <w:szCs w:val="20"/>
        </w:rPr>
        <w:t>Obligations which are the subject of the Payment Demand.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4.            </w:t>
      </w:r>
      <w:r>
        <w:rPr>
          <w:color w:val="000000"/>
          <w:u w:val="single"/>
        </w:rPr>
        <w:t>SET-OFFS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  In the event that any set-off amounts are disproved, Guarantor shall pay to Counterparty the amounts previously set-off, with such payment to be made in accordance with the payment and interest provisions set forth in Section 2 above (with such interest being calculated from the original due date(s) of the set-off amounts).</w:t>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color w:val="000000"/>
          <w:szCs w:val="20"/>
        </w:rPr>
      </w:pPr>
      <w:r>
        <w:rPr>
          <w:color w:val="000000"/>
          <w:szCs w:val="20"/>
        </w:rPr>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This Guaranty shall terminate on the earlier of (a) termination of the Precedent Agreement or the Service Agreement in accordance with Paragraph 5 of the Precedent Agreement, (b) the Company satisfying Counterparty’s creditworthiness requirements in Counterparty’s sole opinion, reasonably exercised, or (c) fifteen (15) years from and after the date that firm transportation service commences under the Service Agreement.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any case of termination, no such termination shall affect Guarantor's liability with respect to the Obligations arising prior to the time the termination is effective, which Obligations shall remain guaranteed pursuant to the terms of this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Transcontinental Gas Pipe Line Corporation</w:t>
      </w:r>
    </w:p>
    <w:p>
      <w:pPr>
        <w:pStyle w:val="Normal"/>
        <w:autoSpaceDE w:val="false"/>
        <w:spacing w:lineRule="atLeast" w:line="240"/>
        <w:jc w:val="both"/>
        <w:rPr>
          <w:color w:val="000000"/>
        </w:rPr>
      </w:pPr>
      <w:r>
        <w:rPr>
          <w:color w:val="000000"/>
        </w:rPr>
        <w:t>2800 Post Oak Boulevard</w:t>
      </w:r>
    </w:p>
    <w:p>
      <w:pPr>
        <w:pStyle w:val="Normal"/>
        <w:autoSpaceDE w:val="false"/>
        <w:spacing w:lineRule="atLeast" w:line="240"/>
        <w:jc w:val="both"/>
        <w:rPr>
          <w:color w:val="000000"/>
        </w:rPr>
      </w:pPr>
      <w:r>
        <w:rPr>
          <w:color w:val="000000"/>
        </w:rPr>
        <w:t>Houston, Texas 77056 </w:t>
      </w:r>
    </w:p>
    <w:p>
      <w:pPr>
        <w:pStyle w:val="Normal"/>
        <w:autoSpaceDE w:val="false"/>
        <w:spacing w:lineRule="atLeast" w:line="240"/>
        <w:jc w:val="both"/>
        <w:rPr>
          <w:color w:val="000000"/>
        </w:rPr>
      </w:pPr>
      <w:r>
        <w:rPr>
          <w:color w:val="000000"/>
        </w:rPr>
        <w:t>Attn:</w:t>
        <w:tab/>
        <w:t>Vice President, Customer Service and Rates</w:t>
      </w:r>
    </w:p>
    <w:p>
      <w:pPr>
        <w:pStyle w:val="Normal"/>
        <w:autoSpaceDE w:val="false"/>
        <w:spacing w:lineRule="atLeast" w:line="240"/>
        <w:jc w:val="both"/>
        <w:rPr>
          <w:color w:val="000000"/>
        </w:rPr>
      </w:pPr>
      <w:r>
        <w:rPr>
          <w:color w:val="000000"/>
        </w:rPr>
        <w:t>Fax No.:  (713) 215-4269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___________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2001-03-26T19:22:00Z</dcterms:created>
  <dc:creator>gnemec</dc:creator>
  <dc:description/>
  <dc:language>en-CA</dc:language>
  <cp:lastModifiedBy>gnemec</cp:lastModifiedBy>
  <cp:lastPrinted>2001-02-28T12:16:00Z</cp:lastPrinted>
  <dcterms:modified xsi:type="dcterms:W3CDTF">2001-03-26T19:42:00Z</dcterms:modified>
  <cp:revision>4</cp:revision>
  <dc:subject/>
  <dc:title>ENRON CORP</dc:title>
</cp:coreProperties>
</file>