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DATE:  7/11/00</w:t>
      </w:r>
    </w:p>
    <w:p>
      <w:pPr>
        <w:pStyle w:val="Normal"/>
        <w:jc w:val="end"/>
        <w:rPr/>
      </w:pPr>
      <w:r>
        <w:rPr/>
      </w:r>
    </w:p>
    <w:p>
      <w:pPr>
        <w:pStyle w:val="Heading1"/>
        <w:ind w:hanging="0" w:start="0"/>
        <w:rPr/>
      </w:pPr>
      <w:r>
        <w:rPr/>
        <w:t>ENRON CORP. – EQUITY TRADING</w:t>
      </w:r>
    </w:p>
    <w:p>
      <w:pPr>
        <w:pStyle w:val="Normal"/>
        <w:jc w:val="both"/>
        <w:rPr/>
      </w:pPr>
      <w:r>
        <w:rPr/>
      </w:r>
    </w:p>
    <w:tbl>
      <w:tblPr>
        <w:tblW w:w="18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468"/>
        <w:gridCol w:w="9360"/>
      </w:tblGrid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A.  ISDA Master Agreements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6840" w:leader="none"/>
              </w:tabs>
              <w:jc w:val="both"/>
              <w:rPr/>
            </w:pPr>
            <w:r>
              <w:rPr/>
              <w:tab/>
            </w:r>
            <w:r>
              <w:rPr>
                <w:u w:val="single"/>
              </w:rPr>
              <w:t>COUNTERPARTY</w:t>
            </w:r>
            <w:r>
              <w:rPr/>
              <w:tab/>
            </w:r>
            <w:r>
              <w:rPr>
                <w:u w:val="single"/>
              </w:rPr>
              <w:t>ENRON ENTITY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STATUS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6840" w:leader="none"/>
              </w:tabs>
              <w:jc w:val="both"/>
              <w:rPr/>
            </w:pPr>
            <w:r>
              <w:rPr/>
              <w:t>Bear, Stearns International Limited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Draft pending.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6840" w:leader="none"/>
              </w:tabs>
              <w:jc w:val="both"/>
              <w:rPr/>
            </w:pPr>
            <w:r>
              <w:rPr/>
              <w:t>Credit Agricole Indosuez</w:t>
              <w:tab/>
              <w:t>ENA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James Coiley sent redline comments on 6/13/00.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6840" w:leader="none"/>
              </w:tabs>
              <w:jc w:val="both"/>
              <w:rPr/>
            </w:pPr>
            <w:r>
              <w:rPr/>
              <w:t>CSFB International (fka Credit Suisse Financial Products)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Executed ISDA dated 4/21/93.  Need evidence of name change.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6840" w:leader="none"/>
              </w:tabs>
              <w:jc w:val="both"/>
              <w:rPr/>
            </w:pPr>
            <w:r>
              <w:rPr/>
              <w:t>Lehman Brother Finance S.A.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Draft sent 5/31/00.  Need to review CP form and call Vijay Suchdev (legal).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6840" w:leader="none"/>
              </w:tabs>
              <w:jc w:val="both"/>
              <w:rPr/>
            </w:pPr>
            <w:r>
              <w:rPr/>
              <w:t>Merrill Lynch International</w:t>
              <w:tab/>
              <w:t>ENA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Executed 6/14/00.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6840" w:leader="none"/>
              </w:tabs>
              <w:jc w:val="both"/>
              <w:rPr/>
            </w:pPr>
            <w:r>
              <w:rPr/>
              <w:t>Morgan Stanley Capital Services Inc.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Draft sent 5/22/00.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936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B.  Pending Confirmations</w:t>
            </w:r>
          </w:p>
        </w:tc>
        <w:tc>
          <w:tcPr>
            <w:tcW w:w="936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6840" w:leader="none"/>
              </w:tabs>
              <w:jc w:val="both"/>
              <w:rPr/>
            </w:pPr>
            <w:r>
              <w:rPr/>
              <w:tab/>
            </w:r>
            <w:r>
              <w:rPr>
                <w:u w:val="single"/>
              </w:rPr>
              <w:t>COUNTERPARTY</w:t>
            </w:r>
            <w:r>
              <w:rPr/>
              <w:tab/>
            </w:r>
            <w:r>
              <w:rPr>
                <w:u w:val="single"/>
              </w:rPr>
              <w:t>ENRON ENTITY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STATUS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left" w:pos="360" w:leader="none"/>
                <w:tab w:val="left" w:pos="720" w:leader="none"/>
                <w:tab w:val="left" w:pos="1080" w:leader="none"/>
                <w:tab w:val="left" w:pos="6840" w:leader="none"/>
              </w:tabs>
              <w:jc w:val="both"/>
              <w:rPr/>
            </w:pPr>
            <w:r>
              <w:rPr/>
              <w:tab/>
              <w:t>1.</w:t>
              <w:tab/>
              <w:tab/>
              <w:t>Bear Stearns International Limited</w:t>
              <w:tab/>
              <w:t>Enron Corp.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TRS eff. 5/30/00, terminated 6/6/00, Clint to locate forward.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080" w:leader="none"/>
                <w:tab w:val="left" w:pos="6840" w:leader="none"/>
              </w:tabs>
              <w:jc w:val="both"/>
              <w:rPr/>
            </w:pPr>
            <w:r>
              <w:rPr/>
              <w:tab/>
              <w:t>2 (a).</w:t>
              <w:tab/>
              <w:t xml:space="preserve">CSFB </w:t>
              <w:tab/>
              <w:t>Enron Corp.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Draft confirm eff. 5/11/00, termination 5/11/01, email to Clint.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080" w:leader="none"/>
                <w:tab w:val="left" w:pos="6840" w:leader="none"/>
              </w:tabs>
              <w:jc w:val="both"/>
              <w:rPr/>
            </w:pPr>
            <w:r>
              <w:rPr/>
              <w:tab/>
              <w:t>2 (b).</w:t>
              <w:tab/>
              <w:t xml:space="preserve">CSFB </w:t>
              <w:tab/>
              <w:t>Enron Corp.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Not yet sent (forward or swap)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080" w:leader="none"/>
                <w:tab w:val="left" w:pos="6840" w:leader="none"/>
              </w:tabs>
              <w:jc w:val="both"/>
              <w:rPr/>
            </w:pPr>
            <w:r>
              <w:rPr/>
              <w:tab/>
              <w:t>3.</w:t>
              <w:tab/>
              <w:t>RMT</w:t>
              <w:tab/>
              <w:t>Enron Corp.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Rate swap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080" w:leader="none"/>
                <w:tab w:val="left" w:pos="6840" w:leader="none"/>
              </w:tabs>
              <w:jc w:val="both"/>
              <w:rPr/>
            </w:pPr>
            <w:r>
              <w:rPr/>
              <w:tab/>
              <w:t>4.</w:t>
              <w:tab/>
              <w:t>UBS AG</w:t>
              <w:tab/>
              <w:t>Enron Corp.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Price return equity swap eff. 4/24/00, termination 10/24/00.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080" w:leader="none"/>
                <w:tab w:val="left" w:pos="6840" w:leader="none"/>
              </w:tabs>
              <w:jc w:val="both"/>
              <w:rPr/>
            </w:pPr>
            <w:r>
              <w:rPr/>
              <w:tab/>
              <w:t>5.</w:t>
              <w:tab/>
              <w:t>Merrill Lynch International</w:t>
              <w:tab/>
              <w:t>ENA</w:t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720"/>
              <w:jc w:val="both"/>
              <w:rPr/>
            </w:pPr>
            <w:r>
              <w:rPr/>
              <w:t>TRS eff. 6/28/00, termination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080" w:leader="none"/>
                <w:tab w:val="left" w:pos="684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080" w:leader="none"/>
                <w:tab w:val="left" w:pos="684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080" w:leader="none"/>
                <w:tab w:val="left" w:pos="684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080" w:leader="none"/>
                <w:tab w:val="left" w:pos="684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080" w:leader="none"/>
                <w:tab w:val="left" w:pos="684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08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93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/mnt/main-storage/datasets/enron-docs/doc/Enron_Corp._Equity_Trading.doc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2000-07-05T16:59:00Z</dcterms:created>
  <dc:creator>kellis</dc:creator>
  <dc:description/>
  <dc:language>en-CA</dc:language>
  <cp:lastModifiedBy>kellis</cp:lastModifiedBy>
  <cp:lastPrinted>2000-07-12T08:55:00Z</cp:lastPrinted>
  <dcterms:modified xsi:type="dcterms:W3CDTF">2000-07-12T11:25:00Z</dcterms:modified>
  <cp:revision>7</cp:revision>
  <dc:subject/>
  <dc:title>DATE:  7/5/00</dc:title>
</cp:coreProperties>
</file>