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Enron Corp. Equity Derivatives Trading – Summary as of 6/28/00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Corp. resolutions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11/5/97  EOG stock buyback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10/1/96 FX/rate capped at aggregate $300M/5 yr.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8/21/97 ENE stock buyback [open market purchases of 5 million shares in accordance with Rule 10b-18]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5/1/98  draft “equity hedging” instruments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Can Enron Corp. execute confirmations for equity “trading” purposes?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What are acceptable transactions on ENE stock (swaps, forwards, options)?  What type of settlement is acceptable (cash, net cash, net share)?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Pending negotiations for ISDA Master Agreements with ENA: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Merrill Lynch International – executed 6/14/00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CSFB International, formerly known as Credit Suisse Financial Products (name change).  Existing ISDA Master dated 4/21/93.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Lehman Brothers Finance S.A. – draft sent 5/31/00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Morgan Guaranty Trust Company of New York (5/28/92 Master Energy Price Swap Agreement with ERMS).  Draft ISDA sent 6/13/00 and comments received on 6/26/00.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Bear Stearns International Limited – draft pending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Pending Confirmations: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CSFB/Enron Corp.  unexecuted draft eff. 5/11/00, term. 5/11/01 (gross physical, net cash, net share settlements)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CSFB/Enron Corp. – new(?)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Bear Stearns International Limited – TRS eff. 5/30/00 terminated on 6/6/00 for approx. $2.2M payable to Enron Corp.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Enron Corp./RMT – rate transactions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UBS AG/Enron Corp. – price return equity swap eff. 4/24/00, term. 10/24/00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lowerRoman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5">
    <w:lvl w:ilvl="0">
      <w:start w:val="1"/>
      <w:numFmt w:val="lowerRoman"/>
      <w:lvlText w:val="(%1)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2000-06-28T01:37:00Z</dcterms:created>
  <dc:creator>Sara Shackleton</dc:creator>
  <dc:description/>
  <dc:language>en-CA</dc:language>
  <cp:lastModifiedBy>sshackl</cp:lastModifiedBy>
  <dcterms:modified xsi:type="dcterms:W3CDTF">2000-06-28T11:29:00Z</dcterms:modified>
  <cp:revision>4</cp:revision>
  <dc:subject/>
  <dc:title>Enron Corp</dc:title>
</cp:coreProperties>
</file>