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rPr>
      </w:pPr>
      <w:r>
        <w:rPr>
          <w:b/>
          <w:sz w:val="36"/>
        </w:rPr>
        <w:t>Consent Decree</w:t>
      </w:r>
    </w:p>
    <w:p>
      <w:pPr>
        <w:pStyle w:val="Normal"/>
        <w:rPr>
          <w:b/>
          <w:sz w:val="22"/>
        </w:rPr>
      </w:pPr>
      <w:r>
        <w:rPr>
          <w:b/>
          <w:sz w:val="22"/>
        </w:rPr>
      </w:r>
    </w:p>
    <w:p>
      <w:pPr>
        <w:pStyle w:val="Normal"/>
        <w:rPr>
          <w:sz w:val="22"/>
        </w:rPr>
      </w:pPr>
      <w:r>
        <w:rPr>
          <w:sz w:val="22"/>
        </w:rPr>
      </w:r>
    </w:p>
    <w:p>
      <w:pPr>
        <w:pStyle w:val="Normal"/>
        <w:jc w:val="center"/>
        <w:rPr>
          <w:b/>
          <w:kern w:val="2"/>
          <w:sz w:val="22"/>
        </w:rPr>
      </w:pPr>
      <w:r>
        <w:rPr>
          <w:b/>
          <w:kern w:val="2"/>
          <w:sz w:val="22"/>
        </w:rPr>
        <w:t>I.  Introduction</w:t>
      </w:r>
    </w:p>
    <w:p>
      <w:pPr>
        <w:pStyle w:val="Normal"/>
        <w:rPr>
          <w:b/>
          <w:kern w:val="2"/>
          <w:sz w:val="22"/>
        </w:rPr>
      </w:pPr>
      <w:r>
        <w:rPr>
          <w:b/>
          <w:kern w:val="2"/>
          <w:sz w:val="22"/>
        </w:rPr>
      </w:r>
    </w:p>
    <w:p>
      <w:pPr>
        <w:pStyle w:val="Normal"/>
        <w:numPr>
          <w:ilvl w:val="0"/>
          <w:numId w:val="2"/>
        </w:numPr>
        <w:ind w:firstLine="720" w:start="0" w:end="0"/>
        <w:jc w:val="both"/>
        <w:rPr>
          <w:kern w:val="2"/>
          <w:sz w:val="22"/>
        </w:rPr>
      </w:pPr>
      <w:r>
        <w:rPr>
          <w:kern w:val="2"/>
          <w:sz w:val="22"/>
        </w:rPr>
        <w:t xml:space="preserve">This Consent Decree is entered into by the Enforcement Bureau of the Federal Communications Commission ("Bureau") and Enron Corp. (“Enron”).  </w:t>
      </w:r>
    </w:p>
    <w:p>
      <w:pPr>
        <w:pStyle w:val="Normal"/>
        <w:rPr>
          <w:kern w:val="2"/>
          <w:sz w:val="22"/>
        </w:rPr>
      </w:pPr>
      <w:r>
        <w:rPr>
          <w:kern w:val="2"/>
          <w:sz w:val="22"/>
        </w:rPr>
      </w:r>
    </w:p>
    <w:p>
      <w:pPr>
        <w:pStyle w:val="Normal"/>
        <w:jc w:val="center"/>
        <w:rPr>
          <w:b/>
          <w:kern w:val="2"/>
          <w:sz w:val="22"/>
        </w:rPr>
      </w:pPr>
      <w:r>
        <w:rPr>
          <w:b/>
          <w:kern w:val="2"/>
          <w:sz w:val="22"/>
        </w:rPr>
        <w:t>II.  Background</w:t>
      </w:r>
    </w:p>
    <w:p>
      <w:pPr>
        <w:pStyle w:val="Normal"/>
        <w:rPr>
          <w:b/>
          <w:kern w:val="2"/>
          <w:sz w:val="22"/>
        </w:rPr>
      </w:pPr>
      <w:r>
        <w:rPr>
          <w:b/>
          <w:kern w:val="2"/>
          <w:sz w:val="22"/>
        </w:rPr>
      </w:r>
    </w:p>
    <w:p>
      <w:pPr>
        <w:pStyle w:val="Normal"/>
        <w:numPr>
          <w:ilvl w:val="0"/>
          <w:numId w:val="2"/>
        </w:numPr>
        <w:ind w:firstLine="720" w:start="0" w:end="0"/>
        <w:jc w:val="both"/>
        <w:rPr/>
      </w:pPr>
      <w:r>
        <w:rPr>
          <w:sz w:val="22"/>
        </w:rPr>
        <w:t>Enron is a diversified corporation that markets electricity and natural gas; delivers physical commodities and financial and risk management services to customers around the world; and has developed an intelligent network platform to facilitate online business</w:t>
      </w:r>
      <w:r>
        <w:rPr/>
        <w:t xml:space="preserve">. </w:t>
      </w:r>
      <w:r>
        <w:rPr>
          <w:sz w:val="22"/>
        </w:rPr>
        <w:t>Its revenues in 2000 were $101 billion.</w:t>
      </w:r>
    </w:p>
    <w:p>
      <w:pPr>
        <w:pStyle w:val="Normal"/>
        <w:rPr/>
      </w:pPr>
      <w:r>
        <w:rPr/>
      </w:r>
    </w:p>
    <w:p>
      <w:pPr>
        <w:pStyle w:val="Normal"/>
        <w:numPr>
          <w:ilvl w:val="0"/>
          <w:numId w:val="2"/>
        </w:numPr>
        <w:ind w:firstLine="720" w:start="0" w:end="0"/>
        <w:jc w:val="both"/>
        <w:rPr>
          <w:sz w:val="22"/>
        </w:rPr>
      </w:pPr>
      <w:r>
        <w:rPr>
          <w:sz w:val="22"/>
        </w:rPr>
        <w:t xml:space="preserve">In 1997, Enron acquired Portland General Corporation (“PGC”), whose subsidiary, Portland General Electric (“PGE”), at the time was the licensee of various wireless facilities in the land mobile, microwave, marine coastal, ship, and aircraft services.  Pursuant to the merger, control of PGC passed from its public shareholders to Enron; PGC ceased to exist as a separate corporate entity; and PGE </w:t>
      </w:r>
    </w:p>
    <w:p>
      <w:pPr>
        <w:pStyle w:val="Normal"/>
        <w:jc w:val="both"/>
        <w:rPr/>
      </w:pPr>
      <w:r>
        <w:rPr>
          <w:sz w:val="22"/>
        </w:rPr>
        <w:t>became a wholly-owned subsidiary of Enron.  The 1997 transaction effectuated a substantial transfer of control of PGE’s land mobile, microwave, and marine coastal licenses</w:t>
      </w:r>
      <w:r>
        <w:rPr>
          <w:rStyle w:val="FootnoteCharacters"/>
          <w:rStyle w:val="FootnoteReference"/>
          <w:sz w:val="22"/>
        </w:rPr>
        <w:footnoteReference w:id="2"/>
      </w:r>
      <w:r>
        <w:rPr>
          <w:sz w:val="22"/>
        </w:rPr>
        <w:t xml:space="preserve"> requiring prior Commission consent pursuant to Section 310(d) of the Communications Act of 1934, as amended, 47 U.S.C. § 310(d).  After the transaction was consummated the parties recognized their failure to obtain Commission approval and, on August 24, 1998, filed applications requesting Commission consent to the transfer of control of 27 authorizations. The Commission staff subsequently granted the applications on January 25, 1999.</w:t>
      </w:r>
    </w:p>
    <w:p>
      <w:pPr>
        <w:pStyle w:val="Normal"/>
        <w:jc w:val="both"/>
        <w:rPr>
          <w:sz w:val="22"/>
        </w:rPr>
      </w:pPr>
      <w:r>
        <w:rPr>
          <w:sz w:val="22"/>
        </w:rPr>
      </w:r>
    </w:p>
    <w:p>
      <w:pPr>
        <w:pStyle w:val="Normal"/>
        <w:numPr>
          <w:ilvl w:val="0"/>
          <w:numId w:val="2"/>
        </w:numPr>
        <w:ind w:firstLine="720" w:start="0" w:end="0"/>
        <w:jc w:val="both"/>
        <w:rPr>
          <w:kern w:val="2"/>
          <w:sz w:val="22"/>
        </w:rPr>
      </w:pPr>
      <w:r>
        <w:rPr>
          <w:sz w:val="22"/>
        </w:rPr>
        <w:t xml:space="preserve">In November 2000, Enron realized it had mistakenly failed to request Commission consent to the transfer of control of all of PGE’s licenses, including those held by PGE at the time of the 1997 transaction and those acquired by PGE subsequently. Enron thereafter filed applications for 69 licenses, all of which have since been granted.  </w:t>
      </w:r>
    </w:p>
    <w:p>
      <w:pPr>
        <w:pStyle w:val="Normal"/>
        <w:jc w:val="both"/>
        <w:rPr>
          <w:kern w:val="2"/>
          <w:sz w:val="22"/>
        </w:rPr>
      </w:pPr>
      <w:r>
        <w:rPr>
          <w:kern w:val="2"/>
          <w:sz w:val="22"/>
        </w:rPr>
      </w:r>
    </w:p>
    <w:p>
      <w:pPr>
        <w:pStyle w:val="Normal"/>
        <w:jc w:val="center"/>
        <w:rPr>
          <w:b/>
          <w:kern w:val="2"/>
          <w:sz w:val="22"/>
        </w:rPr>
      </w:pPr>
      <w:r>
        <w:rPr>
          <w:b/>
          <w:kern w:val="2"/>
          <w:sz w:val="22"/>
        </w:rPr>
        <w:t>III.  Definitions</w:t>
      </w:r>
    </w:p>
    <w:p>
      <w:pPr>
        <w:pStyle w:val="Normal"/>
        <w:rPr>
          <w:b/>
          <w:kern w:val="2"/>
          <w:sz w:val="22"/>
        </w:rPr>
      </w:pPr>
      <w:r>
        <w:rPr>
          <w:b/>
          <w:kern w:val="2"/>
          <w:sz w:val="22"/>
        </w:rPr>
      </w:r>
    </w:p>
    <w:p>
      <w:pPr>
        <w:pStyle w:val="Normal"/>
        <w:numPr>
          <w:ilvl w:val="0"/>
          <w:numId w:val="2"/>
        </w:numPr>
        <w:ind w:firstLine="720" w:start="0" w:end="0"/>
        <w:jc w:val="both"/>
        <w:rPr>
          <w:kern w:val="2"/>
          <w:sz w:val="22"/>
        </w:rPr>
      </w:pPr>
      <w:r>
        <w:rPr>
          <w:kern w:val="2"/>
          <w:sz w:val="22"/>
        </w:rPr>
        <w:t>For the purposes of this Consent Decree, the following definitions shall apply:</w:t>
      </w:r>
    </w:p>
    <w:p>
      <w:pPr>
        <w:pStyle w:val="Normal"/>
        <w:rPr>
          <w:kern w:val="2"/>
          <w:sz w:val="22"/>
        </w:rPr>
      </w:pPr>
      <w:r>
        <w:rPr>
          <w:kern w:val="2"/>
          <w:sz w:val="22"/>
        </w:rPr>
      </w:r>
    </w:p>
    <w:p>
      <w:pPr>
        <w:pStyle w:val="Normal"/>
        <w:ind w:firstLine="720" w:start="720" w:end="0"/>
        <w:jc w:val="both"/>
        <w:rPr>
          <w:kern w:val="2"/>
          <w:sz w:val="22"/>
        </w:rPr>
      </w:pPr>
      <w:r>
        <w:rPr>
          <w:kern w:val="2"/>
          <w:sz w:val="22"/>
        </w:rPr>
        <w:t>(a) "Commission" means the Federal Communications Commission.</w:t>
      </w:r>
    </w:p>
    <w:p>
      <w:pPr>
        <w:pStyle w:val="Normal"/>
        <w:rPr>
          <w:kern w:val="2"/>
          <w:sz w:val="22"/>
        </w:rPr>
      </w:pPr>
      <w:r>
        <w:rPr>
          <w:kern w:val="2"/>
          <w:sz w:val="22"/>
        </w:rPr>
      </w:r>
    </w:p>
    <w:p>
      <w:pPr>
        <w:pStyle w:val="Normal"/>
        <w:ind w:firstLine="720" w:start="720" w:end="0"/>
        <w:rPr>
          <w:kern w:val="2"/>
          <w:sz w:val="22"/>
        </w:rPr>
      </w:pPr>
      <w:r>
        <w:rPr>
          <w:kern w:val="2"/>
          <w:sz w:val="22"/>
        </w:rPr>
        <w:t>(b) "Bureau" means the Commission's Enforcement Bureau.</w:t>
      </w:r>
    </w:p>
    <w:p>
      <w:pPr>
        <w:pStyle w:val="Normal"/>
        <w:rPr>
          <w:kern w:val="2"/>
          <w:sz w:val="22"/>
        </w:rPr>
      </w:pPr>
      <w:r>
        <w:rPr>
          <w:kern w:val="2"/>
          <w:sz w:val="22"/>
        </w:rPr>
      </w:r>
    </w:p>
    <w:p>
      <w:pPr>
        <w:pStyle w:val="Normal"/>
        <w:ind w:firstLine="720" w:start="720" w:end="0"/>
        <w:rPr>
          <w:sz w:val="22"/>
        </w:rPr>
      </w:pPr>
      <w:r>
        <w:rPr>
          <w:sz w:val="22"/>
        </w:rPr>
        <w:t xml:space="preserve">(c) “Enron” means Enron Corp. </w:t>
      </w:r>
    </w:p>
    <w:p>
      <w:pPr>
        <w:pStyle w:val="Normal"/>
        <w:rPr>
          <w:sz w:val="22"/>
        </w:rPr>
      </w:pPr>
      <w:r>
        <w:rPr>
          <w:sz w:val="22"/>
        </w:rPr>
      </w:r>
    </w:p>
    <w:p>
      <w:pPr>
        <w:pStyle w:val="Normal"/>
        <w:ind w:firstLine="720" w:start="720" w:end="0"/>
        <w:rPr>
          <w:kern w:val="2"/>
          <w:sz w:val="22"/>
        </w:rPr>
      </w:pPr>
      <w:r>
        <w:rPr>
          <w:kern w:val="2"/>
          <w:sz w:val="22"/>
        </w:rPr>
        <w:t>(d) "Order" means the order of the Enforcement Bureau adopting this Consent Decree.</w:t>
      </w:r>
    </w:p>
    <w:p>
      <w:pPr>
        <w:pStyle w:val="Normal"/>
        <w:rPr>
          <w:kern w:val="2"/>
          <w:sz w:val="22"/>
        </w:rPr>
      </w:pPr>
      <w:r>
        <w:rPr>
          <w:kern w:val="2"/>
          <w:sz w:val="22"/>
        </w:rPr>
      </w:r>
    </w:p>
    <w:p>
      <w:pPr>
        <w:pStyle w:val="Normal"/>
        <w:ind w:start="1440" w:end="0"/>
        <w:rPr>
          <w:kern w:val="2"/>
          <w:sz w:val="22"/>
        </w:rPr>
      </w:pPr>
      <w:r>
        <w:rPr>
          <w:kern w:val="2"/>
          <w:sz w:val="22"/>
        </w:rPr>
        <w:t>(e) "Final Order" means the Order that is no longer subject to administrative or judicial reconsideration, review, appeal, or stay.</w:t>
      </w:r>
    </w:p>
    <w:p>
      <w:pPr>
        <w:pStyle w:val="Normal"/>
        <w:rPr>
          <w:kern w:val="2"/>
          <w:sz w:val="22"/>
        </w:rPr>
      </w:pPr>
      <w:r>
        <w:rPr>
          <w:kern w:val="2"/>
          <w:sz w:val="22"/>
        </w:rPr>
      </w:r>
    </w:p>
    <w:p>
      <w:pPr>
        <w:pStyle w:val="Normal"/>
        <w:ind w:start="1440" w:end="0"/>
        <w:rPr>
          <w:sz w:val="22"/>
        </w:rPr>
      </w:pPr>
      <w:r>
        <w:rPr>
          <w:sz w:val="22"/>
        </w:rPr>
        <w:t xml:space="preserve">(f) “Act” means the Communications Act of 1934, as amended, Title 47 of the United States Code.  </w:t>
      </w:r>
    </w:p>
    <w:p>
      <w:pPr>
        <w:pStyle w:val="Normal"/>
        <w:jc w:val="center"/>
        <w:rPr>
          <w:b/>
          <w:sz w:val="22"/>
        </w:rPr>
      </w:pPr>
      <w:r>
        <w:rPr>
          <w:b/>
          <w:sz w:val="22"/>
        </w:rPr>
        <w:t>IV.  Agreement</w:t>
      </w:r>
    </w:p>
    <w:p>
      <w:pPr>
        <w:pStyle w:val="Normal"/>
        <w:rPr>
          <w:b/>
          <w:sz w:val="22"/>
        </w:rPr>
      </w:pPr>
      <w:r>
        <w:rPr>
          <w:b/>
          <w:sz w:val="22"/>
        </w:rPr>
      </w:r>
    </w:p>
    <w:p>
      <w:pPr>
        <w:pStyle w:val="Normal"/>
        <w:numPr>
          <w:ilvl w:val="0"/>
          <w:numId w:val="2"/>
        </w:numPr>
        <w:ind w:firstLine="720" w:start="0" w:end="0"/>
        <w:jc w:val="both"/>
        <w:rPr>
          <w:kern w:val="2"/>
          <w:sz w:val="22"/>
        </w:rPr>
      </w:pPr>
      <w:r>
        <w:rPr>
          <w:kern w:val="2"/>
          <w:sz w:val="22"/>
        </w:rPr>
        <w:t>Enron agrees that the Bureau has jurisdiction over the matters contained in this Consent Decree and the authority to enter into and adopt this Consent Decree.</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The Bureau and Enron agree that this Consent Decree does not constitute an adjudication on the merits or any finding on the facts or law regarding any violations of the Act or the Commission’s rules committed by Enron.</w:t>
      </w:r>
    </w:p>
    <w:p>
      <w:pPr>
        <w:pStyle w:val="Normal"/>
        <w:rPr>
          <w:kern w:val="2"/>
          <w:sz w:val="22"/>
        </w:rPr>
      </w:pPr>
      <w:r>
        <w:rPr>
          <w:kern w:val="2"/>
          <w:sz w:val="22"/>
        </w:rPr>
        <w:t xml:space="preserve"> </w:t>
      </w:r>
    </w:p>
    <w:p>
      <w:pPr>
        <w:pStyle w:val="Normal"/>
        <w:numPr>
          <w:ilvl w:val="0"/>
          <w:numId w:val="2"/>
        </w:numPr>
        <w:ind w:firstLine="720" w:start="0" w:end="0"/>
        <w:jc w:val="both"/>
        <w:rPr>
          <w:kern w:val="2"/>
          <w:sz w:val="22"/>
        </w:rPr>
      </w:pPr>
      <w:r>
        <w:rPr>
          <w:kern w:val="2"/>
          <w:sz w:val="22"/>
        </w:rPr>
        <w:t xml:space="preserve">Enron agrees that it shall make a voluntary contribution to the United States Treasury in the amount of $7,500 within 10 calendar days after the Bureau releases the Order adopting this Consent Decree. </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 xml:space="preserve">Enron agrees to implement, within 10 calendar days after the Bureau releases the Order adopting this Consent Decree, a comprehensive internal program, a summary of which is attached hereto, to ensure Enron’s future compliance with the Act, the Commission’s rules, and the Commission’s policies. </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 xml:space="preserve">In express reliance upon the representations contained herein, the Bureau agrees to terminate its investigation into the matters discussed in paragraphs 3-4, above. </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 xml:space="preserve">The Bureau agrees not to institute any new proceeding, formal or informal, of any kind against Enron for apparent violations of Section 310(d) of the Act or Section 301 of the Act arising from the matters discussed in paragraphs 3-4, above. </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 xml:space="preserve">In the event that Enron is found by the Commission or its delegated authority to have engaged in a violation of Section 310(d) of the Act and/or Section 301 of the Act subsequent to the release of the Order adopting this Consent Decree, Enron agrees that the conduct described in paragraphs 3-4, above, may be considered by the Commission or its delegated authority in determining an appropriate sanction. </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Enron waives any and all rights it may have to seek administrative or judicial reconsideration, review, appeal or stay, or to otherwise challenge or contest the validity of this Consent Decree and the Order adopting this Consent Decree, provided the Order is limited to adopting the Consent Decree without change, addition, or modification.</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 xml:space="preserve">Enron and the Bureau agree that the effectiveness of this Consent Decree is expressly contingent upon issuance of the Order, provided the Order adopts the Consent Decree without change, addition, or modification. </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Enron and the Bureau agree that in the event that this Consent Decree is rendered invalid by any court of competent jurisdiction, it shall become null and void and may not be used in any manner in any legal proceeding.</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 xml:space="preserve">Enron and the Bureau agree that if Enron, the Commission, or the United States on behalf of the Commission, brings a judicial action to enforce the terms of the Order adopting this Consent Decree, neither Enron nor the Commission shall contest the validity of the Consent Decree or Order, and Enron and the Commission shall waive any statutory right to a trial </w:t>
      </w:r>
      <w:r>
        <w:rPr>
          <w:i/>
          <w:kern w:val="2"/>
          <w:sz w:val="22"/>
        </w:rPr>
        <w:t>de novo</w:t>
      </w:r>
      <w:r>
        <w:rPr>
          <w:kern w:val="2"/>
          <w:sz w:val="22"/>
        </w:rPr>
        <w:t xml:space="preserve"> with respect to any matter upon which the Order is based (provided in each case that the Order is limited to adopting the Consent Decree without change, addition, or modification), and shall consent to a judgment incorporating the terms of this Consent Decree.</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 xml:space="preserve">Enron agrees to waive any claims it may otherwise have under the Equal Access to Justice Act, Title 5 U.S.C. § 504 and 47 C.F. R. § 1.1501 </w:t>
      </w:r>
      <w:r>
        <w:rPr>
          <w:i/>
          <w:kern w:val="2"/>
          <w:sz w:val="22"/>
        </w:rPr>
        <w:t>et seq.</w:t>
      </w:r>
      <w:r>
        <w:rPr>
          <w:kern w:val="2"/>
          <w:sz w:val="22"/>
        </w:rPr>
        <w:t>, relating to the matters discussed in paragraphs 3-4, above.</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Enron agrees that any violation of the Order adopting this Consent Decree shall constitute a separate violation and subject Enron to appropriate administrative sanctions.</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Enron and the Bureau agree to be bound by the terms and conditions stated herein.</w:t>
      </w:r>
    </w:p>
    <w:p>
      <w:pPr>
        <w:pStyle w:val="Normal"/>
        <w:rPr>
          <w:kern w:val="2"/>
          <w:sz w:val="22"/>
        </w:rPr>
      </w:pPr>
      <w:r>
        <w:rPr>
          <w:kern w:val="2"/>
          <w:sz w:val="22"/>
        </w:rPr>
      </w:r>
    </w:p>
    <w:p>
      <w:pPr>
        <w:pStyle w:val="Normal"/>
        <w:numPr>
          <w:ilvl w:val="0"/>
          <w:numId w:val="2"/>
        </w:numPr>
        <w:ind w:firstLine="720" w:start="0" w:end="0"/>
        <w:jc w:val="both"/>
        <w:rPr>
          <w:kern w:val="2"/>
          <w:sz w:val="22"/>
        </w:rPr>
      </w:pPr>
      <w:r>
        <w:rPr>
          <w:kern w:val="2"/>
          <w:sz w:val="22"/>
        </w:rPr>
        <w:t>Enron and the Bureau agree that this Consent Decree may be signed in counterparts.</w:t>
      </w:r>
    </w:p>
    <w:p>
      <w:pPr>
        <w:pStyle w:val="Normal"/>
        <w:rPr>
          <w:kern w:val="2"/>
          <w:sz w:val="22"/>
        </w:rPr>
      </w:pPr>
      <w:r>
        <w:rPr>
          <w:kern w:val="2"/>
          <w:sz w:val="22"/>
        </w:rPr>
      </w:r>
    </w:p>
    <w:p>
      <w:pPr>
        <w:pStyle w:val="Normal"/>
        <w:rPr>
          <w:kern w:val="2"/>
          <w:sz w:val="22"/>
        </w:rPr>
      </w:pPr>
      <w:r>
        <w:rPr>
          <w:kern w:val="2"/>
          <w:sz w:val="22"/>
        </w:rPr>
      </w:r>
    </w:p>
    <w:p>
      <w:pPr>
        <w:pStyle w:val="Normal"/>
        <w:rPr>
          <w:b/>
          <w:sz w:val="22"/>
        </w:rPr>
      </w:pPr>
      <w:r>
        <w:rPr>
          <w:b/>
          <w:sz w:val="22"/>
        </w:rPr>
        <w:t>ENFORCEMENT BUREAU</w:t>
      </w:r>
    </w:p>
    <w:p>
      <w:pPr>
        <w:pStyle w:val="Normal"/>
        <w:rPr>
          <w:b/>
          <w:sz w:val="22"/>
        </w:rPr>
      </w:pPr>
      <w:r>
        <w:rPr>
          <w:b/>
          <w:sz w:val="22"/>
        </w:rPr>
        <w:t xml:space="preserve">FEDERAL COMMUNICATIONS COMMISSION </w:t>
      </w:r>
    </w:p>
    <w:p>
      <w:pPr>
        <w:pStyle w:val="Normal"/>
        <w:rPr>
          <w:b/>
          <w:kern w:val="2"/>
          <w:sz w:val="22"/>
        </w:rPr>
      </w:pPr>
      <w:r>
        <w:rPr>
          <w:b/>
          <w:kern w:val="2"/>
          <w:sz w:val="22"/>
        </w:rPr>
      </w:r>
    </w:p>
    <w:p>
      <w:pPr>
        <w:pStyle w:val="Normal"/>
        <w:rPr>
          <w:kern w:val="2"/>
          <w:sz w:val="22"/>
        </w:rPr>
      </w:pPr>
      <w:r>
        <w:rPr>
          <w:kern w:val="2"/>
          <w:sz w:val="22"/>
        </w:rPr>
      </w:r>
    </w:p>
    <w:p>
      <w:pPr>
        <w:pStyle w:val="Normal"/>
        <w:rPr>
          <w:kern w:val="2"/>
          <w:sz w:val="22"/>
        </w:rPr>
      </w:pPr>
      <w:r>
        <w:rPr>
          <w:kern w:val="2"/>
          <w:sz w:val="22"/>
        </w:rPr>
        <w:t xml:space="preserve">By: _____________________________                                               ____________  </w:t>
      </w:r>
    </w:p>
    <w:p>
      <w:pPr>
        <w:pStyle w:val="Normal"/>
        <w:rPr>
          <w:kern w:val="2"/>
          <w:sz w:val="22"/>
        </w:rPr>
      </w:pPr>
      <w:r>
        <w:rPr>
          <w:kern w:val="2"/>
          <w:sz w:val="22"/>
        </w:rPr>
        <w:tab/>
        <w:t>David H. Solomon</w:t>
        <w:tab/>
        <w:tab/>
        <w:tab/>
        <w:tab/>
        <w:tab/>
        <w:tab/>
        <w:t>Date</w:t>
      </w:r>
    </w:p>
    <w:p>
      <w:pPr>
        <w:pStyle w:val="Normal"/>
        <w:rPr>
          <w:kern w:val="2"/>
          <w:sz w:val="22"/>
        </w:rPr>
      </w:pPr>
      <w:r>
        <w:rPr>
          <w:kern w:val="2"/>
          <w:sz w:val="22"/>
        </w:rPr>
        <w:tab/>
        <w:t>Chief</w:t>
      </w:r>
    </w:p>
    <w:p>
      <w:pPr>
        <w:pStyle w:val="Normal"/>
        <w:rPr>
          <w:kern w:val="2"/>
          <w:sz w:val="22"/>
        </w:rPr>
      </w:pPr>
      <w:r>
        <w:rPr>
          <w:kern w:val="2"/>
          <w:sz w:val="22"/>
        </w:rPr>
      </w:r>
    </w:p>
    <w:p>
      <w:pPr>
        <w:pStyle w:val="Normal"/>
        <w:rPr>
          <w:kern w:val="2"/>
          <w:sz w:val="22"/>
        </w:rPr>
      </w:pPr>
      <w:r>
        <w:rPr>
          <w:kern w:val="2"/>
          <w:sz w:val="22"/>
        </w:rPr>
      </w:r>
    </w:p>
    <w:p>
      <w:pPr>
        <w:pStyle w:val="Normal"/>
        <w:rPr>
          <w:b/>
          <w:sz w:val="22"/>
        </w:rPr>
      </w:pPr>
      <w:r>
        <w:rPr>
          <w:b/>
          <w:sz w:val="22"/>
        </w:rPr>
        <w:t xml:space="preserve">ENRON CORP.  </w:t>
      </w:r>
    </w:p>
    <w:p>
      <w:pPr>
        <w:pStyle w:val="Normal"/>
        <w:rPr>
          <w:b/>
          <w:kern w:val="2"/>
          <w:sz w:val="22"/>
        </w:rPr>
      </w:pPr>
      <w:r>
        <w:rPr>
          <w:b/>
          <w:kern w:val="2"/>
          <w:sz w:val="22"/>
        </w:rPr>
      </w:r>
    </w:p>
    <w:p>
      <w:pPr>
        <w:pStyle w:val="Normal"/>
        <w:rPr>
          <w:kern w:val="2"/>
          <w:sz w:val="22"/>
        </w:rPr>
      </w:pPr>
      <w:r>
        <w:rPr>
          <w:kern w:val="2"/>
          <w:sz w:val="22"/>
        </w:rPr>
      </w:r>
    </w:p>
    <w:p>
      <w:pPr>
        <w:pStyle w:val="Normal"/>
        <w:rPr>
          <w:kern w:val="2"/>
          <w:sz w:val="22"/>
        </w:rPr>
      </w:pPr>
      <w:r>
        <w:rPr>
          <w:kern w:val="2"/>
          <w:sz w:val="22"/>
        </w:rPr>
        <w:t>By: ______________________________                                              ____________</w:t>
      </w:r>
      <w:r>
        <w:rPr>
          <w:kern w:val="2"/>
          <w:sz w:val="22"/>
          <w:u w:val="single"/>
        </w:rPr>
        <w:t xml:space="preserve"> </w:t>
      </w:r>
    </w:p>
    <w:p>
      <w:pPr>
        <w:pStyle w:val="Normal"/>
        <w:ind w:start="720" w:end="0"/>
        <w:rPr/>
      </w:pPr>
      <w:r>
        <w:rPr/>
        <w:t>Jeffrey K. Skilling,</w:t>
        <w:tab/>
        <w:tab/>
        <w:tab/>
        <w:tab/>
        <w:tab/>
        <w:tab/>
        <w:t>Date</w:t>
        <w:br/>
        <w:t>President and CEO</w:t>
        <w:br/>
      </w:r>
    </w:p>
    <w:p>
      <w:pPr>
        <w:pStyle w:val="Normal"/>
        <w:ind w:firstLine="720" w:end="0"/>
        <w:rPr>
          <w:kern w:val="2"/>
          <w:sz w:val="22"/>
        </w:rPr>
      </w:pPr>
      <w:r>
        <w:rPr>
          <w:kern w:val="2"/>
          <w:sz w:val="22"/>
        </w:rPr>
        <w:tab/>
        <w:tab/>
        <w:tab/>
        <w:tab/>
        <w:tab/>
      </w:r>
    </w:p>
    <w:p>
      <w:pPr>
        <w:pStyle w:val="Normal"/>
        <w:rPr>
          <w:kern w:val="2"/>
          <w:sz w:val="22"/>
        </w:rPr>
      </w:pPr>
      <w:r>
        <w:rPr>
          <w:kern w:val="2"/>
          <w:sz w:val="22"/>
        </w:rPr>
      </w:r>
    </w:p>
    <w:p>
      <w:pPr>
        <w:pStyle w:val="Normal"/>
        <w:rPr>
          <w:kern w:val="2"/>
          <w:sz w:val="22"/>
        </w:rPr>
      </w:pPr>
      <w:r>
        <w:rPr>
          <w:kern w:val="2"/>
          <w:sz w:val="22"/>
        </w:rPr>
      </w:r>
      <w:r>
        <w:br w:type="page"/>
      </w:r>
    </w:p>
    <w:p>
      <w:pPr>
        <w:pStyle w:val="Normal"/>
        <w:rPr>
          <w:kern w:val="2"/>
          <w:sz w:val="22"/>
        </w:rPr>
      </w:pPr>
      <w:r>
        <w:rPr>
          <w:kern w:val="2"/>
          <w:sz w:val="22"/>
        </w:rPr>
      </w:r>
    </w:p>
    <w:p>
      <w:pPr>
        <w:pStyle w:val="Normal"/>
        <w:jc w:val="center"/>
        <w:rPr>
          <w:b/>
          <w:sz w:val="22"/>
        </w:rPr>
      </w:pPr>
      <w:r>
        <w:rPr>
          <w:b/>
          <w:sz w:val="22"/>
        </w:rPr>
        <w:t>SUMMARY OF COMPLIANCE PROGRAM</w:t>
      </w:r>
    </w:p>
    <w:p>
      <w:pPr>
        <w:pStyle w:val="Normal"/>
        <w:jc w:val="center"/>
        <w:rPr>
          <w:b/>
          <w:sz w:val="22"/>
        </w:rPr>
      </w:pPr>
      <w:r>
        <w:rPr>
          <w:b/>
          <w:sz w:val="22"/>
        </w:rPr>
        <w:t>OF</w:t>
      </w:r>
    </w:p>
    <w:p>
      <w:pPr>
        <w:pStyle w:val="Normal"/>
        <w:jc w:val="center"/>
        <w:rPr>
          <w:b/>
          <w:sz w:val="22"/>
        </w:rPr>
      </w:pPr>
      <w:r>
        <w:rPr>
          <w:b/>
          <w:sz w:val="22"/>
        </w:rPr>
        <w:t>ENRON CORP.</w:t>
      </w:r>
    </w:p>
    <w:p>
      <w:pPr>
        <w:pStyle w:val="Normal"/>
        <w:rPr>
          <w:b/>
          <w:kern w:val="2"/>
          <w:sz w:val="22"/>
        </w:rPr>
      </w:pPr>
      <w:r>
        <w:rPr>
          <w:b/>
          <w:kern w:val="2"/>
          <w:sz w:val="22"/>
        </w:rPr>
      </w:r>
    </w:p>
    <w:p>
      <w:pPr>
        <w:pStyle w:val="Normal"/>
        <w:rPr>
          <w:kern w:val="2"/>
          <w:sz w:val="22"/>
        </w:rPr>
      </w:pPr>
      <w:r>
        <w:rPr>
          <w:kern w:val="2"/>
          <w:sz w:val="22"/>
        </w:rPr>
      </w:r>
    </w:p>
    <w:p>
      <w:pPr>
        <w:pStyle w:val="BodyText2"/>
        <w:ind w:firstLine="720" w:end="0"/>
        <w:jc w:val="both"/>
        <w:rPr/>
      </w:pPr>
      <w:r>
        <w:rPr/>
        <w:t>Enron Corp. (“Enron”) will establish a Telecommunications Regulatory Compliance Program to ensure compliance with relevant provisions of the Communications Act of 1934 and Federal Communications Commission regulations.  The program will be administered by the legal department and will be described in a compliance manual addressing the following areas: (1) designation of a Telecommunications Compliance Attorney; (2) establishment of a compliance training program; (3) creation of an electronic FCC license database; (4) FCC license renewals; and (5) FCC license assignments and transfers of control.</w:t>
      </w:r>
    </w:p>
    <w:p>
      <w:pPr>
        <w:pStyle w:val="BodyText2"/>
        <w:ind w:firstLine="720" w:end="0"/>
        <w:jc w:val="both"/>
        <w:rPr/>
      </w:pPr>
      <w:r>
        <w:rPr/>
        <w:t> </w:t>
      </w:r>
    </w:p>
    <w:p>
      <w:pPr>
        <w:pStyle w:val="BodyText2"/>
        <w:ind w:firstLine="720" w:end="0"/>
        <w:jc w:val="both"/>
        <w:rPr/>
      </w:pPr>
      <w:r>
        <w:rPr>
          <w:u w:val="single"/>
        </w:rPr>
        <w:t>Designation of Telecommunications Compliance Attorney.</w:t>
      </w:r>
      <w:r>
        <w:rPr/>
        <w:t xml:space="preserve">  Enron will designate a member of its legal department to serve as the Telecommunications Compliance Attorney (“TCA”).  The TCA will have responsibility for overseeing Enron’s Telecommunications Compliance Program. Enron personnel with questions regarding FCC compliance will be directed to the TCA for assistance.</w:t>
      </w:r>
    </w:p>
    <w:p>
      <w:pPr>
        <w:pStyle w:val="BodyText2"/>
        <w:ind w:end="720"/>
        <w:jc w:val="both"/>
        <w:rPr/>
      </w:pPr>
      <w:r>
        <w:rPr/>
        <w:t> </w:t>
      </w:r>
    </w:p>
    <w:p>
      <w:pPr>
        <w:pStyle w:val="BodyText2"/>
        <w:jc w:val="both"/>
        <w:rPr/>
      </w:pPr>
      <w:r>
        <w:rPr/>
        <w:tab/>
      </w:r>
      <w:r>
        <w:rPr>
          <w:u w:val="single"/>
        </w:rPr>
        <w:t>Compliance Training Program.</w:t>
      </w:r>
      <w:r>
        <w:rPr/>
        <w:t xml:space="preserve">  The TCA will conduct an education program for company lawyers, managers, and other parties responsible for the establishment, purchase, sale, and use of Enron’s telecommunications assets.</w:t>
      </w:r>
    </w:p>
    <w:p>
      <w:pPr>
        <w:pStyle w:val="BodyText2"/>
        <w:jc w:val="both"/>
        <w:rPr/>
      </w:pPr>
      <w:r>
        <w:rPr/>
        <w:t> </w:t>
      </w:r>
    </w:p>
    <w:p>
      <w:pPr>
        <w:pStyle w:val="BodyText2"/>
        <w:jc w:val="both"/>
        <w:rPr/>
      </w:pPr>
      <w:r>
        <w:rPr/>
        <w:tab/>
      </w:r>
      <w:r>
        <w:rPr>
          <w:u w:val="single"/>
        </w:rPr>
        <w:t>Database.</w:t>
      </w:r>
      <w:r>
        <w:rPr/>
        <w:t xml:space="preserve">  The TCA will assemble and maintain information about Enron’s telecommunications licenses.  The database will be accessible by all employees who deal with FCC regulatory compliance or telecommunications systems.  The TCA will ensure that the database is updated regularly.</w:t>
      </w:r>
    </w:p>
    <w:p>
      <w:pPr>
        <w:pStyle w:val="BodyText2"/>
        <w:jc w:val="both"/>
        <w:rPr/>
      </w:pPr>
      <w:r>
        <w:rPr/>
        <w:t> </w:t>
      </w:r>
    </w:p>
    <w:p>
      <w:pPr>
        <w:pStyle w:val="BodyText2"/>
        <w:jc w:val="both"/>
        <w:rPr/>
      </w:pPr>
      <w:r>
        <w:rPr/>
        <w:tab/>
      </w:r>
      <w:r>
        <w:rPr>
          <w:u w:val="single"/>
        </w:rPr>
        <w:t>License Renewals.</w:t>
      </w:r>
      <w:r>
        <w:rPr/>
        <w:t xml:space="preserve">  The database will contain a tickler system that will alert the TCA whenever one of Enron’s licenses must be renewed.  The TCA will then have responsibility for ensuring that the proper renewal application is filed and that FCC approvals are obtained.</w:t>
      </w:r>
    </w:p>
    <w:p>
      <w:pPr>
        <w:pStyle w:val="BodyText2"/>
        <w:jc w:val="both"/>
        <w:rPr/>
      </w:pPr>
      <w:r>
        <w:rPr/>
        <w:t> </w:t>
      </w:r>
    </w:p>
    <w:p>
      <w:pPr>
        <w:pStyle w:val="BodyText2"/>
        <w:jc w:val="both"/>
        <w:rPr/>
      </w:pPr>
      <w:r>
        <w:rPr/>
        <w:tab/>
      </w:r>
      <w:r>
        <w:rPr>
          <w:u w:val="single"/>
        </w:rPr>
        <w:t>License Assignments and Transfers.</w:t>
      </w:r>
      <w:r>
        <w:rPr/>
        <w:t xml:space="preserve">  The compliance manual will contain information for Enron personnel regarding the need to obtain prior FCC approval for all assignments and transfers of control of FCC licenses.</w:t>
      </w:r>
    </w:p>
    <w:p>
      <w:pPr>
        <w:pStyle w:val="VEBodyText"/>
        <w:rPr/>
      </w:pPr>
      <w:r>
        <w:rPr/>
      </w:r>
    </w:p>
    <w:p>
      <w:pPr>
        <w:pStyle w:val="Normal"/>
        <w:rPr>
          <w:kern w:val="2"/>
          <w:sz w:val="22"/>
        </w:rPr>
      </w:pPr>
      <w:r>
        <w:rPr>
          <w:kern w:val="2"/>
          <w:sz w:val="22"/>
        </w:rPr>
      </w:r>
    </w:p>
    <w:sectPr>
      <w:footerReference w:type="default" r:id="rId2"/>
      <w:footnotePr>
        <w:numFmt w:val="decimal"/>
      </w:footnotePr>
      <w:type w:val="nextPage"/>
      <w:pgSz w:w="12240" w:h="15840"/>
      <w:pgMar w:left="1440" w:right="1440" w:gutter="0" w:header="0"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sz w:val="15"/>
      </w:rPr>
    </w:pPr>
    <w:r>
      <w:rPr>
        <w:sz w:val="15"/>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 xml:space="preserve">Licenses in the ship and aircraft services are not transferable, pursuant to </w:t>
      </w:r>
      <w:r>
        <w:rPr>
          <w:lang w:eastAsia="en-US"/>
        </w:rPr>
        <w:t>Section 1.948(b)(5) of the Commission’s rules, 47 C.F.R. § 1.948(b)(5).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2"/>
        <w:sz w:val="22"/>
        <w:i w:val="false"/>
        <w:shadow w:val="false"/>
        <w:u w:val="none"/>
        <w:b w:val="false"/>
        <w:vanish w:val="false"/>
        <w:rFonts w:ascii="Times New Roman" w:hAnsi="Times New Roman" w:cs="Times New Roman"/>
        <w:color w:val="auto"/>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b/>
      <w:kern w:val="2"/>
      <w:sz w:val="22"/>
    </w:rPr>
  </w:style>
  <w:style w:type="paragraph" w:styleId="Heading2">
    <w:name w:val="heading 2"/>
    <w:basedOn w:val="Normal"/>
    <w:next w:val="Normal"/>
    <w:qFormat/>
    <w:pPr>
      <w:keepNext w:val="true"/>
      <w:tabs>
        <w:tab w:val="clear" w:pos="720"/>
        <w:tab w:val="left" w:pos="-720" w:leader="none"/>
      </w:tabs>
      <w:suppressAutoHyphens w:val="true"/>
      <w:outlineLvl w:val="1"/>
    </w:pPr>
    <w:rPr>
      <w:kern w:val="2"/>
      <w:sz w:val="24"/>
    </w:rPr>
  </w:style>
  <w:style w:type="paragraph" w:styleId="Heading3">
    <w:name w:val="heading 3"/>
    <w:basedOn w:val="Normal"/>
    <w:next w:val="Normal"/>
    <w:qFormat/>
    <w:pPr>
      <w:keepNext w:val="true"/>
      <w:tabs>
        <w:tab w:val="clear" w:pos="720"/>
        <w:tab w:val="left" w:pos="-720" w:leader="none"/>
      </w:tabs>
      <w:suppressAutoHyphens w:val="true"/>
      <w:outlineLvl w:val="2"/>
    </w:pPr>
    <w:rPr>
      <w:b/>
      <w:kern w:val="2"/>
      <w:sz w:val="24"/>
    </w:rPr>
  </w:style>
  <w:style w:type="paragraph" w:styleId="Heading4">
    <w:name w:val="heading 4"/>
    <w:basedOn w:val="Normal"/>
    <w:next w:val="Normal"/>
    <w:qFormat/>
    <w:pPr>
      <w:keepNext w:val="true"/>
      <w:jc w:val="center"/>
      <w:outlineLvl w:val="3"/>
    </w:pPr>
    <w:rPr>
      <w:b/>
      <w:kern w:val="2"/>
      <w:sz w:val="22"/>
    </w:rPr>
  </w:style>
  <w:style w:type="paragraph" w:styleId="Heading5">
    <w:name w:val="heading 5"/>
    <w:basedOn w:val="Normal"/>
    <w:next w:val="ParaNum"/>
    <w:qFormat/>
    <w:pPr>
      <w:keepNext w:val="true"/>
      <w:widowControl w:val="false"/>
      <w:tabs>
        <w:tab w:val="clear" w:pos="720"/>
        <w:tab w:val="left" w:pos="2880" w:leader="none"/>
      </w:tabs>
      <w:suppressAutoHyphens w:val="true"/>
      <w:spacing w:before="0" w:after="220"/>
      <w:jc w:val="both"/>
      <w:outlineLvl w:val="4"/>
    </w:pPr>
    <w:rPr>
      <w:b/>
      <w:kern w:val="2"/>
      <w:sz w:val="24"/>
      <w:lang w:eastAsia="en-US"/>
    </w:rPr>
  </w:style>
  <w:style w:type="paragraph" w:styleId="Heading6">
    <w:name w:val="heading 6"/>
    <w:basedOn w:val="Normal"/>
    <w:next w:val="ParaNum"/>
    <w:qFormat/>
    <w:pPr>
      <w:widowControl w:val="false"/>
      <w:tabs>
        <w:tab w:val="clear" w:pos="720"/>
        <w:tab w:val="left" w:pos="2880" w:leader="none"/>
      </w:tabs>
      <w:spacing w:before="0" w:after="220"/>
      <w:outlineLvl w:val="5"/>
    </w:pPr>
    <w:rPr>
      <w:b/>
      <w:kern w:val="2"/>
      <w:sz w:val="22"/>
      <w:lang w:eastAsia="en-US"/>
    </w:rPr>
  </w:style>
  <w:style w:type="paragraph" w:styleId="Heading7">
    <w:name w:val="heading 7"/>
    <w:basedOn w:val="Normal"/>
    <w:next w:val="ParaNum"/>
    <w:qFormat/>
    <w:pPr>
      <w:widowControl w:val="false"/>
      <w:tabs>
        <w:tab w:val="clear" w:pos="720"/>
        <w:tab w:val="left" w:pos="5040" w:leader="none"/>
      </w:tabs>
      <w:spacing w:before="0" w:after="220"/>
      <w:outlineLvl w:val="6"/>
    </w:pPr>
    <w:rPr>
      <w:b/>
      <w:kern w:val="2"/>
      <w:sz w:val="22"/>
      <w:lang w:eastAsia="en-US"/>
    </w:rPr>
  </w:style>
  <w:style w:type="paragraph" w:styleId="Heading8">
    <w:name w:val="heading 8"/>
    <w:basedOn w:val="Normal"/>
    <w:next w:val="ParaNum"/>
    <w:qFormat/>
    <w:pPr>
      <w:widowControl w:val="false"/>
      <w:tabs>
        <w:tab w:val="clear" w:pos="720"/>
        <w:tab w:val="left" w:pos="5040" w:leader="none"/>
      </w:tabs>
      <w:spacing w:before="0" w:after="220"/>
      <w:outlineLvl w:val="7"/>
    </w:pPr>
    <w:rPr>
      <w:b/>
      <w:kern w:val="2"/>
      <w:sz w:val="22"/>
      <w:lang w:eastAsia="en-US"/>
    </w:rPr>
  </w:style>
  <w:style w:type="paragraph" w:styleId="Heading9">
    <w:name w:val="heading 9"/>
    <w:basedOn w:val="Normal"/>
    <w:next w:val="ParaNum"/>
    <w:qFormat/>
    <w:pPr>
      <w:widowControl w:val="false"/>
      <w:tabs>
        <w:tab w:val="clear" w:pos="720"/>
        <w:tab w:val="left" w:pos="5040" w:leader="none"/>
      </w:tabs>
      <w:spacing w:before="0" w:after="220"/>
      <w:outlineLvl w:val="8"/>
    </w:pPr>
    <w:rPr>
      <w:b/>
      <w:kern w:val="2"/>
      <w:sz w:val="22"/>
      <w:lang w:eastAsia="en-US"/>
    </w:rPr>
  </w:style>
  <w:style w:type="character" w:styleId="WW8Num1z0">
    <w:name w:val="WW8Num1z0"/>
    <w:qFormat/>
    <w:rPr>
      <w:b w:val="false"/>
      <w:i w:val="false"/>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2"/>
      <w:sz w:val="22"/>
      <w:u w:val="none"/>
      <w:vertAlign w:val="baseline"/>
    </w:rPr>
  </w:style>
  <w:style w:type="character" w:styleId="WW8Num3z0">
    <w:name w:val="WW8Num3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2"/>
      <w:sz w:val="22"/>
      <w:u w:val="none"/>
      <w:vertAlign w:val="baseline"/>
    </w:rPr>
  </w:style>
  <w:style w:type="character" w:styleId="WW8Num5z0">
    <w:name w:val="WW8Num5z0"/>
    <w:qFormat/>
    <w:rPr>
      <w:rFonts w:ascii="Times New Roman" w:hAnsi="Times New Roman" w:cs="Times New Roman"/>
      <w:b w:val="false"/>
      <w:i w:val="false"/>
      <w:sz w:val="24"/>
    </w:rPr>
  </w:style>
  <w:style w:type="character" w:styleId="WW8Num8z0">
    <w:name w:val="WW8Num8z0"/>
    <w:qFormat/>
    <w:rPr>
      <w:rFonts w:ascii="Times New Roman" w:hAnsi="Times New Roman" w:cs="Times New Roman"/>
      <w:b w:val="false"/>
      <w:i w:val="false"/>
      <w:sz w:val="24"/>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2"/>
      <w:sz w:val="22"/>
      <w:u w:val="none"/>
      <w:vertAlign w:val="baseline"/>
    </w:rPr>
  </w:style>
  <w:style w:type="character" w:styleId="WW8Num15z0">
    <w:name w:val="WW8Num15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2"/>
      <w:sz w:val="22"/>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rFonts w:ascii="Impact" w:hAnsi="Impact" w:cs="Impact"/>
      <w:sz w:val="24"/>
      <w:vertAlign w:val="superscript"/>
      <w:lang w:val="en-US"/>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widowControl w:val="false"/>
      <w:suppressAutoHyphens w:val="true"/>
      <w:jc w:val="center"/>
    </w:pPr>
    <w:rPr>
      <w:b/>
      <w:kern w:val="2"/>
      <w:sz w:val="36"/>
      <w:u w:val="single"/>
      <w:lang w:eastAsia="en-US"/>
    </w:rPr>
  </w:style>
  <w:style w:type="paragraph" w:styleId="BodyText">
    <w:name w:val="Body Text"/>
    <w:basedOn w:val="Normal"/>
    <w:pPr>
      <w:widowControl w:val="false"/>
      <w:tabs>
        <w:tab w:val="clear" w:pos="720"/>
        <w:tab w:val="left" w:pos="-720" w:leader="none"/>
      </w:tabs>
      <w:suppressAutoHyphens w:val="true"/>
    </w:pPr>
    <w:rPr>
      <w:spacing w:val="-3"/>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120"/>
    </w:pPr>
    <w:rPr/>
  </w:style>
  <w:style w:type="paragraph" w:styleId="OrderText">
    <w:name w:val="OrderText"/>
    <w:basedOn w:val="Normal"/>
    <w:qFormat/>
    <w:pPr>
      <w:numPr>
        <w:ilvl w:val="0"/>
        <w:numId w:val="3"/>
      </w:numPr>
      <w:spacing w:before="120" w:after="0"/>
      <w:ind w:firstLine="720" w:start="0" w:end="0"/>
    </w:pPr>
    <w:rPr>
      <w:sz w:val="22"/>
    </w:rPr>
  </w:style>
  <w:style w:type="paragraph" w:styleId="EndnoteText">
    <w:name w:val="endnote text"/>
    <w:basedOn w:val="Normal"/>
    <w:pPr>
      <w:widowControl w:val="false"/>
      <w:tabs>
        <w:tab w:val="clear" w:pos="720"/>
        <w:tab w:val="left" w:pos="-720" w:leader="none"/>
      </w:tabs>
      <w:suppressAutoHyphens w:val="true"/>
    </w:pPr>
    <w:rPr>
      <w:rFonts w:ascii="Courier" w:hAnsi="Courier" w:cs="Courier"/>
      <w:sz w:val="24"/>
      <w:lang w:eastAsia="en-US"/>
    </w:rPr>
  </w:style>
  <w:style w:type="paragraph" w:styleId="BodyText2">
    <w:name w:val="Body Text 2"/>
    <w:basedOn w:val="Normal"/>
    <w:qFormat/>
    <w:pPr/>
    <w:rPr>
      <w:kern w:val="2"/>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BodyTextIndent">
    <w:name w:val="Body Text Indent"/>
    <w:basedOn w:val="Normal"/>
    <w:pPr>
      <w:ind w:hanging="720" w:start="2160" w:end="0"/>
      <w:jc w:val="both"/>
    </w:pPr>
    <w:rPr>
      <w:kern w:val="2"/>
      <w:sz w:val="22"/>
    </w:rPr>
  </w:style>
  <w:style w:type="paragraph" w:styleId="ParaNum">
    <w:name w:val="ParaNum"/>
    <w:basedOn w:val="Normal"/>
    <w:qFormat/>
    <w:pPr>
      <w:widowControl w:val="false"/>
      <w:tabs>
        <w:tab w:val="clear" w:pos="720"/>
        <w:tab w:val="left" w:pos="1440" w:leader="none"/>
      </w:tabs>
      <w:spacing w:before="0" w:after="220"/>
    </w:pPr>
    <w:rPr>
      <w:kern w:val="2"/>
      <w:sz w:val="22"/>
      <w:lang w:eastAsia="en-US"/>
    </w:rPr>
  </w:style>
  <w:style w:type="paragraph" w:styleId="VEBodyText">
    <w:name w:val="VE Body Text"/>
    <w:basedOn w:val="Normal"/>
    <w:qFormat/>
    <w:pPr>
      <w:spacing w:before="0" w:after="24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2001-06-04T14:50:00Z</dcterms:created>
  <dc:creator>Schonman</dc:creator>
  <dc:description/>
  <dc:language>en-CA</dc:language>
  <cp:lastModifiedBy>Schonman</cp:lastModifiedBy>
  <cp:lastPrinted>2001-06-04T14:19:00Z</cp:lastPrinted>
  <dcterms:modified xsi:type="dcterms:W3CDTF">2001-06-06T10:02:00Z</dcterms:modified>
  <cp:revision>9</cp:revision>
  <dc:subject>New York State Electric &amp; Gas</dc:subject>
  <dc:title>Consent Decree</dc:title>
</cp:coreProperties>
</file>