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1"/>
        <w:rPr/>
      </w:pPr>
      <w:r>
        <w:rPr>
          <w:rFonts w:cs="CG Times" w:ascii="CG Times" w:hAnsi="CG Times"/>
        </w:rPr>
        <w:t>Enron North America - September 14-15, 2000</w:t>
        <w:br/>
        <w:br/>
        <w:t>Commodities Trading and Marketing</w:t>
        <w:br/>
      </w:r>
      <w:r>
        <w:rPr>
          <w:rFonts w:cs="CG Times" w:ascii="CG Times" w:hAnsi="CG Times"/>
          <w:u w:val="single"/>
        </w:rPr>
        <w:t>Compliance Program Presentations</w:t>
      </w:r>
    </w:p>
    <w:p>
      <w:pPr>
        <w:pStyle w:val="indenttext"/>
        <w:rPr>
          <w:rFonts w:ascii="CG Times" w:hAnsi="CG Times" w:cs="CG Times"/>
        </w:rPr>
      </w:pPr>
      <w:r>
        <w:rPr>
          <w:rFonts w:cs="CG Times" w:ascii="CG Times" w:hAnsi="CG Times"/>
        </w:rPr>
        <w:t>Please read the following case studies.</w:t>
      </w:r>
    </w:p>
    <w:p>
      <w:pPr>
        <w:pStyle w:val="indenttext"/>
        <w:rPr>
          <w:rFonts w:ascii="CG Times" w:hAnsi="CG Times" w:cs="CG Times"/>
        </w:rPr>
      </w:pPr>
      <w:r>
        <w:rPr>
          <w:rFonts w:cs="CG Times" w:ascii="CG Times" w:hAnsi="CG Times"/>
        </w:rPr>
        <w:t>As you reflect on the conduct described, place yourself in the position of each Oil and Gas, Inc. (“OGI”) employee and evaluate that individual’s conduct and recommend what he/she should do.</w:t>
      </w:r>
    </w:p>
    <w:p>
      <w:pPr>
        <w:pStyle w:val="indenttext"/>
        <w:rPr>
          <w:rFonts w:ascii="CG Times" w:hAnsi="CG Times" w:cs="CG Times"/>
        </w:rPr>
      </w:pPr>
      <w:r>
        <w:rPr>
          <w:rFonts w:cs="CG Times" w:ascii="CG Times" w:hAnsi="CG Times"/>
        </w:rPr>
        <w:t>You will have approximately 30 minutes to prepare, in your pre-assigned group, your group’s answer on the “group score sheet”.  In the “score” column, record each character’s conduct on a sale of 0 (poor) to 100 (excellent).  In the “advice” column state what alternative conduct, if any, your group would recommend for each character.</w:t>
      </w:r>
    </w:p>
    <w:p>
      <w:pPr>
        <w:pStyle w:val="indenttext"/>
        <w:rPr>
          <w:rFonts w:ascii="CG Times" w:hAnsi="CG Times" w:cs="CG Times"/>
        </w:rPr>
      </w:pPr>
      <w:r>
        <w:rPr>
          <w:rFonts w:cs="CG Times" w:ascii="CG Times" w:hAnsi="CG Times"/>
        </w:rPr>
        <w:t>Please select a spokesperson for your group who will report on your group’s ideas and answers during the general discussion.</w:t>
      </w:r>
      <w:r>
        <w:br w:type="page"/>
      </w:r>
    </w:p>
    <w:p>
      <w:pPr>
        <w:pStyle w:val="heading11"/>
        <w:rPr>
          <w:rFonts w:ascii="CG Times" w:hAnsi="CG Times" w:cs="CG Times"/>
        </w:rPr>
      </w:pPr>
      <w:r>
        <w:rPr>
          <w:rFonts w:cs="CG Times" w:ascii="CG Times" w:hAnsi="CG Times"/>
        </w:rPr>
        <w:t>A Case Study</w:t>
      </w:r>
    </w:p>
    <w:p>
      <w:pPr>
        <w:pStyle w:val="subheading"/>
        <w:rPr>
          <w:rFonts w:ascii="CG Times" w:hAnsi="CG Times" w:cs="CG Times"/>
        </w:rPr>
      </w:pPr>
      <w:r>
        <w:rPr>
          <w:rFonts w:cs="CG Times" w:ascii="CG Times" w:hAnsi="CG Times"/>
        </w:rPr>
        <w:t>Introduction</w:t>
      </w:r>
    </w:p>
    <w:p>
      <w:pPr>
        <w:pStyle w:val="BodyText"/>
        <w:rPr>
          <w:rFonts w:ascii="CG Times" w:hAnsi="CG Times" w:cs="CG Times"/>
        </w:rPr>
      </w:pPr>
      <w:r>
        <w:rPr>
          <w:rFonts w:cs="CG Times" w:ascii="CG Times" w:hAnsi="CG Times"/>
        </w:rPr>
        <w:t>Oil and Gas, Inc. (“OGI”) is an integrated oil and natural gas company with onshore and offshore production facilities, pipeline and refining capacity and gas station and heating oil distributorships.  To manage its own oil and gas interests, it is an active trader in the futures and options markets and also engages in swaps and forward transactions.  In addition, as a service to the producers, middlemen and end-users that it buys from and markets and sells oil and gas and products and power to, OGI offers tailored risk management products including swaps.  OGI has a substantial number of traders and marketers that it has hired over the last several years.</w:t>
      </w:r>
    </w:p>
    <w:p>
      <w:pPr>
        <w:pStyle w:val="subheading"/>
        <w:rPr>
          <w:rFonts w:ascii="CG Times" w:hAnsi="CG Times" w:cs="CG Times"/>
        </w:rPr>
      </w:pPr>
      <w:r>
        <w:rPr>
          <w:rFonts w:cs="CG Times" w:ascii="CG Times" w:hAnsi="CG Times"/>
        </w:rPr>
        <w:t>Scene One</w:t>
      </w:r>
    </w:p>
    <w:p>
      <w:pPr>
        <w:pStyle w:val="BodyText"/>
        <w:rPr>
          <w:rFonts w:ascii="CG Times" w:hAnsi="CG Times" w:cs="CG Times"/>
        </w:rPr>
      </w:pPr>
      <w:r>
        <w:rPr>
          <w:rFonts w:cs="CG Times" w:ascii="CG Times" w:hAnsi="CG Times"/>
        </w:rPr>
        <w:t>Platts Oil Daily has taken to calling Sam, OGI’s head crude oil trader, to collect information on the market and to confirm OGI’s cash market transactions.  Sam is generally very cooperative, giving Platts trade prices on confirmed transactions.  However, when Sam believes that the transaction is off market because of special pricing arrangements tied to other transactions or advice, he tells Platts that he cannot confirm that a transaction took place.  Linda, OGI’s chief market strategist, knowing that OGI has outstanding contracts to sell crude using Platts’ prices, suggests that Sam refuse to confirm trades to Platts that do not support OGI’s strategic position (trades below OGI’s target prices).  Sam says he will think about it and consider giving her proposal a try.</w:t>
      </w:r>
    </w:p>
    <w:p>
      <w:pPr>
        <w:pStyle w:val="subheading"/>
        <w:rPr>
          <w:rFonts w:ascii="CG Times" w:hAnsi="CG Times" w:cs="CG Times"/>
        </w:rPr>
      </w:pPr>
      <w:r>
        <w:rPr>
          <w:rFonts w:cs="CG Times" w:ascii="CG Times" w:hAnsi="CG Times"/>
        </w:rPr>
        <w:t>Scene Two</w:t>
      </w:r>
    </w:p>
    <w:p>
      <w:pPr>
        <w:pStyle w:val="BodyText"/>
        <w:rPr>
          <w:rFonts w:ascii="CG Times" w:hAnsi="CG Times" w:cs="CG Times"/>
        </w:rPr>
      </w:pPr>
      <w:r>
        <w:rPr>
          <w:rFonts w:cs="CG Times" w:ascii="CG Times" w:hAnsi="CG Times"/>
        </w:rPr>
        <w:t>OGI has an established trading relationship with the Wisconsin Power Authority (“WPA”), an instrumentality of the state with responsibility to deliver power to other state agencies.  WPA’s own utilities historically have been inefficient for the state’s needs and WPA routinely is a buyer of power.  WPA has recently hired a new head trader, Brad. Ruth, OGI’s trader responsible for the WPA relationship, notices that WPA’s trading profile has changed, WPA is more often short to OGI and occasionally engages in short-term trades.  After Ruth observes that WPA is short each of the next six months, she consults with her supervisor Henry who assures her that OGI’s contract with WPA authorizes Brad to trade.</w:t>
      </w:r>
    </w:p>
    <w:p>
      <w:pPr>
        <w:pStyle w:val="subheading"/>
        <w:rPr>
          <w:rFonts w:ascii="CG Times" w:hAnsi="CG Times" w:cs="CG Times"/>
        </w:rPr>
      </w:pPr>
      <w:r>
        <w:rPr>
          <w:rFonts w:cs="CG Times" w:ascii="CG Times" w:hAnsi="CG Times"/>
        </w:rPr>
        <w:t>Scene Three</w:t>
      </w:r>
    </w:p>
    <w:p>
      <w:pPr>
        <w:pStyle w:val="BodyText"/>
        <w:rPr>
          <w:rFonts w:ascii="CG Times" w:hAnsi="CG Times" w:cs="CG Times"/>
        </w:rPr>
      </w:pPr>
      <w:r>
        <w:rPr>
          <w:rFonts w:cs="CG Times" w:ascii="CG Times" w:hAnsi="CG Times"/>
        </w:rPr>
        <w:t>Five minutes before the close, Eric, an upstairs trader of OGI calls one of the independent NYMEX floor brokerage firms that OGI uses and talks to Phil, an OGI phone clerk.  Eric has actual buying needs but doesn’t need to trade on the close.  However, he is concerned about that day’s settlement price which will be used to price over 30 BCF of OGI’s swaps and cash gas deals.  He instructs Phil to watch the close carefully.  If the market starts to drop, Eric tells Phil to instruct his floor broker to buy the market aggressively up to 1000 contracts to make sure, in doing so, that the market does not drop on the close.</w:t>
      </w:r>
    </w:p>
    <w:p>
      <w:pPr>
        <w:pStyle w:val="subheading"/>
        <w:rPr>
          <w:rFonts w:ascii="CG Times" w:hAnsi="CG Times" w:cs="CG Times"/>
        </w:rPr>
      </w:pPr>
      <w:r>
        <w:rPr>
          <w:rFonts w:cs="CG Times" w:ascii="CG Times" w:hAnsi="CG Times"/>
        </w:rPr>
        <w:t>Scene Four</w:t>
      </w:r>
    </w:p>
    <w:p>
      <w:pPr>
        <w:pStyle w:val="BodyText"/>
        <w:rPr>
          <w:rFonts w:ascii="CG Times" w:hAnsi="CG Times" w:cs="CG Times"/>
        </w:rPr>
      </w:pPr>
      <w:r>
        <w:rPr>
          <w:rFonts w:cs="CG Times" w:ascii="CG Times" w:hAnsi="CG Times"/>
        </w:rPr>
        <w:t>Dennis, OGI’s chief trader, is convinced that OGI has the only available natural gas deliverable in October into the West Delta hub.  Knowing that a number of companies have unfulfilled commitments to deliver into the hub and that OGI is prepared to sell, Dennis enters the market as a bidder above the market.  After raising the bid several times and not getting hit, Dennis decides to offer at the last bid price.</w:t>
      </w:r>
    </w:p>
    <w:p>
      <w:pPr>
        <w:pStyle w:val="subheading"/>
        <w:rPr>
          <w:rFonts w:ascii="CG Times" w:hAnsi="CG Times" w:cs="CG Times"/>
        </w:rPr>
      </w:pPr>
      <w:r>
        <w:rPr>
          <w:rFonts w:cs="CG Times" w:ascii="CG Times" w:hAnsi="CG Times"/>
        </w:rPr>
        <w:t>Scene Five</w:t>
      </w:r>
    </w:p>
    <w:p>
      <w:pPr>
        <w:pStyle w:val="BodyText"/>
        <w:rPr>
          <w:rFonts w:ascii="CG Times" w:hAnsi="CG Times" w:cs="CG Times"/>
        </w:rPr>
      </w:pPr>
      <w:r>
        <w:rPr>
          <w:rFonts w:cs="CG Times" w:ascii="CG Times" w:hAnsi="CG Times"/>
        </w:rPr>
        <w:t>Michael, one of OGI’s salesman, visits Natural Gas Inc. (“NGI”), a small Southwest gas producer.  OGI buys small quantities of gas from NGI.  Michael suggests to Rick, his counterpart at NGI, that if NGI is concerned that natural gas prices may fall next summer, it purchase a “knock-in” cash settlement option that would compensate NGI in a falling market.  The next day Michael sends Rick a term sheet but, contrary to usual OGI practice, does not include any analysis explaining how the transaction would perform at various prices.  Rick tells Michael, “If that’s what you guys recommend, I’ll go for it.”  Michael executes the trade.</w:t>
      </w:r>
    </w:p>
    <w:p>
      <w:pPr>
        <w:pStyle w:val="subheading"/>
        <w:rPr>
          <w:rFonts w:ascii="CG Times" w:hAnsi="CG Times" w:cs="CG Times"/>
        </w:rPr>
      </w:pPr>
      <w:r>
        <w:rPr>
          <w:rFonts w:cs="CG Times" w:ascii="CG Times" w:hAnsi="CG Times"/>
        </w:rPr>
        <w:t>Scene Six</w:t>
      </w:r>
    </w:p>
    <w:p>
      <w:pPr>
        <w:pStyle w:val="BodyText"/>
        <w:rPr>
          <w:rFonts w:ascii="CG Times" w:hAnsi="CG Times" w:cs="CG Times"/>
        </w:rPr>
      </w:pPr>
      <w:r>
        <w:rPr>
          <w:rFonts w:cs="CG Times" w:ascii="CG Times" w:hAnsi="CG Times"/>
        </w:rPr>
        <w:t>Sue, an OGI marketer, has begun to solicit the risk management and trading business of Cherokee Refinery, a major crude refiner in the Northwest.  Sue’s cousin, Al, is in charge of refinery operations for Cherokee.  Al informs Sue that, while he has not yet informed his supervisors, he is planning an unscheduled maintenance shutdown of Cherokee’s main refinery in Wyoming which should drive up refined prices in the area significantly.  Sue suggests that she discuss with Al’s trading people a trading strategy to benefit from the shutdown.  Meanwhile, Sue recommends that OGI immediately put on a long position in the relevant Wyoming products markets.</w:t>
      </w:r>
      <w:r>
        <w:br w:type="page"/>
      </w:r>
    </w:p>
    <w:p>
      <w:pPr>
        <w:pStyle w:val="Normal"/>
        <w:jc w:val="center"/>
        <w:rPr>
          <w:rFonts w:ascii="CG Times" w:hAnsi="CG Times" w:cs="CG Times"/>
        </w:rPr>
      </w:pPr>
      <w:r>
        <w:rPr>
          <w:rFonts w:cs="CG Times" w:ascii="CG Times" w:hAnsi="CG Times"/>
          <w:b/>
          <w:u w:val="single"/>
        </w:rPr>
        <w:t>SCORE SHEET</w:t>
      </w:r>
    </w:p>
    <w:p>
      <w:pPr>
        <w:pStyle w:val="Normal"/>
        <w:jc w:val="center"/>
        <w:rPr>
          <w:rFonts w:ascii="CG Times" w:hAnsi="CG Times" w:cs="CG Times"/>
          <w:b/>
        </w:rPr>
      </w:pPr>
      <w:r>
        <w:rPr>
          <w:rFonts w:cs="CG Times" w:ascii="CG Times" w:hAnsi="CG Times"/>
          <w:b/>
        </w:rPr>
        <w:t>Compliance Program</w:t>
      </w:r>
    </w:p>
    <w:p>
      <w:pPr>
        <w:pStyle w:val="Normal"/>
        <w:jc w:val="center"/>
        <w:rPr>
          <w:rFonts w:ascii="CG Times" w:hAnsi="CG Times" w:cs="CG Times"/>
        </w:rPr>
      </w:pPr>
      <w:r>
        <w:rPr>
          <w:rFonts w:cs="CG Times" w:ascii="CG Times" w:hAnsi="CG Times"/>
          <w:b/>
        </w:rPr>
        <w:t>September 14-15, 2000</w:t>
      </w:r>
    </w:p>
    <w:p>
      <w:pPr>
        <w:pStyle w:val="Normal"/>
        <w:rPr>
          <w:rFonts w:ascii="CG Times" w:hAnsi="CG Times" w:cs="CG Times"/>
        </w:rPr>
      </w:pPr>
      <w:r>
        <w:rPr>
          <w:rFonts w:cs="CG Times" w:ascii="CG Times" w:hAnsi="CG Times"/>
        </w:rPr>
      </w:r>
    </w:p>
    <w:tbl>
      <w:tblPr>
        <w:tblW w:w="9360" w:type="dxa"/>
        <w:jc w:val="start"/>
        <w:tblInd w:w="108" w:type="dxa"/>
        <w:tblLayout w:type="fixed"/>
        <w:tblCellMar>
          <w:top w:w="0" w:type="dxa"/>
          <w:start w:w="108" w:type="dxa"/>
          <w:bottom w:w="0" w:type="dxa"/>
          <w:end w:w="108" w:type="dxa"/>
        </w:tblCellMar>
      </w:tblPr>
      <w:tblGrid>
        <w:gridCol w:w="3084"/>
        <w:gridCol w:w="3192"/>
        <w:gridCol w:w="3084"/>
      </w:tblGrid>
      <w:tr>
        <w:trPr/>
        <w:tc>
          <w:tcPr>
            <w:tcW w:w="308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 w:hAnsi="CG Times" w:cs="CG Times"/>
                <w:b/>
              </w:rPr>
            </w:pPr>
            <w:r>
              <w:rPr>
                <w:rFonts w:cs="CG Times" w:ascii="CG Times" w:hAnsi="CG Times"/>
                <w:b/>
              </w:rPr>
              <w:t>SCORE</w:t>
            </w:r>
          </w:p>
          <w:p>
            <w:pPr>
              <w:pStyle w:val="Normal"/>
              <w:jc w:val="center"/>
              <w:rPr>
                <w:rFonts w:ascii="CG Times" w:hAnsi="CG Times" w:cs="CG Times"/>
                <w:b/>
              </w:rPr>
            </w:pPr>
            <w:r>
              <w:rPr>
                <w:rFonts w:cs="CG Times" w:ascii="CG Times" w:hAnsi="CG Times"/>
                <w:b/>
              </w:rPr>
              <w:t>0 (Poor) – 100 (Excellent)</w:t>
            </w:r>
          </w:p>
        </w:tc>
        <w:tc>
          <w:tcPr>
            <w:tcW w:w="3084"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 w:hAnsi="CG Times" w:cs="CG Times"/>
                <w:b/>
              </w:rPr>
            </w:pPr>
            <w:r>
              <w:rPr>
                <w:rFonts w:cs="CG Times" w:ascii="CG Times" w:hAnsi="CG Times"/>
                <w:b/>
              </w:rPr>
              <w:t>ADVICE</w:t>
            </w:r>
          </w:p>
        </w:tc>
      </w:tr>
      <w:tr>
        <w:trPr>
          <w:trHeight w:val="578" w:hRule="atLeast"/>
        </w:trPr>
        <w:tc>
          <w:tcPr>
            <w:tcW w:w="3084"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CG Times" w:hAnsi="CG Times" w:cs="CG Times"/>
              </w:rPr>
            </w:pPr>
            <w:r>
              <w:rPr>
                <w:rFonts w:cs="CG Times" w:ascii="CG Times" w:hAnsi="CG Times"/>
                <w:b/>
              </w:rPr>
              <w:t>Scene One</w:t>
            </w:r>
          </w:p>
          <w:p>
            <w:pPr>
              <w:pStyle w:val="Normal"/>
              <w:jc w:val="center"/>
              <w:rPr>
                <w:rFonts w:ascii="CG Times" w:hAnsi="CG Times" w:cs="CG Times"/>
              </w:rPr>
            </w:pPr>
            <w:r>
              <w:rPr>
                <w:rFonts w:cs="CG Times" w:ascii="CG Times" w:hAnsi="CG Times"/>
              </w:rPr>
              <w:t>Sam</w:t>
            </w:r>
          </w:p>
          <w:p>
            <w:pPr>
              <w:pStyle w:val="Normal"/>
              <w:jc w:val="center"/>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t>Linda</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tc>
        <w:tc>
          <w:tcPr>
            <w:tcW w:w="308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tc>
      </w:tr>
      <w:tr>
        <w:trPr>
          <w:trHeight w:val="577" w:hRule="atLeast"/>
        </w:trPr>
        <w:tc>
          <w:tcPr>
            <w:tcW w:w="308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CG Times" w:hAnsi="CG Times" w:cs="CG Times"/>
                <w:b/>
              </w:rPr>
            </w:pPr>
            <w:r>
              <w:rPr>
                <w:rFonts w:cs="CG Times" w:ascii="CG Times" w:hAnsi="CG Times"/>
                <w:b/>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b/>
              </w:rPr>
            </w:pPr>
            <w:r>
              <w:rPr>
                <w:rFonts w:cs="CG Times" w:ascii="CG Times" w:hAnsi="CG Times"/>
                <w:b/>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tc>
        <w:tc>
          <w:tcPr>
            <w:tcW w:w="308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tc>
      </w:tr>
      <w:tr>
        <w:trPr>
          <w:trHeight w:val="578" w:hRule="atLeast"/>
        </w:trPr>
        <w:tc>
          <w:tcPr>
            <w:tcW w:w="3084"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CG Times" w:hAnsi="CG Times" w:cs="CG Times"/>
              </w:rPr>
            </w:pPr>
            <w:r>
              <w:rPr>
                <w:rFonts w:cs="CG Times" w:ascii="CG Times" w:hAnsi="CG Times"/>
                <w:b/>
              </w:rPr>
              <w:t>Scene Two</w:t>
            </w:r>
          </w:p>
          <w:p>
            <w:pPr>
              <w:pStyle w:val="Normal"/>
              <w:jc w:val="center"/>
              <w:rPr>
                <w:rFonts w:ascii="CG Times" w:hAnsi="CG Times" w:cs="CG Times"/>
              </w:rPr>
            </w:pPr>
            <w:r>
              <w:rPr>
                <w:rFonts w:cs="CG Times" w:ascii="CG Times" w:hAnsi="CG Times"/>
              </w:rPr>
              <w:t>Ruth</w:t>
            </w:r>
          </w:p>
          <w:p>
            <w:pPr>
              <w:pStyle w:val="Normal"/>
              <w:jc w:val="center"/>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t>Henry</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tc>
        <w:tc>
          <w:tcPr>
            <w:tcW w:w="308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tc>
      </w:tr>
      <w:tr>
        <w:trPr>
          <w:trHeight w:val="577" w:hRule="atLeast"/>
        </w:trPr>
        <w:tc>
          <w:tcPr>
            <w:tcW w:w="308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CG Times" w:hAnsi="CG Times" w:cs="CG Times"/>
                <w:b/>
              </w:rPr>
            </w:pPr>
            <w:r>
              <w:rPr>
                <w:rFonts w:cs="CG Times" w:ascii="CG Times" w:hAnsi="CG Times"/>
                <w:b/>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b/>
              </w:rPr>
            </w:pPr>
            <w:r>
              <w:rPr>
                <w:rFonts w:cs="CG Times" w:ascii="CG Times" w:hAnsi="CG Times"/>
                <w:b/>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tc>
        <w:tc>
          <w:tcPr>
            <w:tcW w:w="308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tc>
      </w:tr>
      <w:tr>
        <w:trPr>
          <w:trHeight w:val="578" w:hRule="atLeast"/>
        </w:trPr>
        <w:tc>
          <w:tcPr>
            <w:tcW w:w="3084"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CG Times" w:hAnsi="CG Times" w:cs="CG Times"/>
                <w:b/>
              </w:rPr>
            </w:pPr>
            <w:r>
              <w:rPr>
                <w:rFonts w:cs="CG Times" w:ascii="CG Times" w:hAnsi="CG Times"/>
                <w:b/>
              </w:rPr>
              <w:t>Scene Three</w:t>
            </w:r>
          </w:p>
          <w:p>
            <w:pPr>
              <w:pStyle w:val="Normal"/>
              <w:jc w:val="center"/>
              <w:rPr>
                <w:rFonts w:ascii="CG Times" w:hAnsi="CG Times" w:cs="CG Times"/>
              </w:rPr>
            </w:pPr>
            <w:r>
              <w:rPr>
                <w:rFonts w:cs="CG Times" w:ascii="CG Times" w:hAnsi="CG Times"/>
              </w:rPr>
              <w:t>Eric</w:t>
            </w:r>
          </w:p>
          <w:p>
            <w:pPr>
              <w:pStyle w:val="Normal"/>
              <w:jc w:val="center"/>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t>Phil</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tc>
        <w:tc>
          <w:tcPr>
            <w:tcW w:w="308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tc>
      </w:tr>
      <w:tr>
        <w:trPr>
          <w:trHeight w:val="577" w:hRule="atLeast"/>
        </w:trPr>
        <w:tc>
          <w:tcPr>
            <w:tcW w:w="308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CG Times" w:hAnsi="CG Times" w:cs="CG Times"/>
                <w:b/>
              </w:rPr>
            </w:pPr>
            <w:r>
              <w:rPr>
                <w:rFonts w:cs="CG Times" w:ascii="CG Times" w:hAnsi="CG Times"/>
                <w:b/>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b/>
              </w:rPr>
            </w:pPr>
            <w:r>
              <w:rPr>
                <w:rFonts w:cs="CG Times" w:ascii="CG Times" w:hAnsi="CG Times"/>
                <w:b/>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tc>
        <w:tc>
          <w:tcPr>
            <w:tcW w:w="308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tc>
      </w:tr>
      <w:tr>
        <w:trPr>
          <w:trHeight w:val="578" w:hRule="atLeast"/>
        </w:trPr>
        <w:tc>
          <w:tcPr>
            <w:tcW w:w="3084"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 w:hAnsi="CG Times" w:cs="CG Times"/>
              </w:rPr>
            </w:pPr>
            <w:r>
              <w:rPr>
                <w:rFonts w:cs="CG Times" w:ascii="CG Times" w:hAnsi="CG Times"/>
                <w:b/>
              </w:rPr>
              <w:t>Scene Four</w:t>
            </w:r>
          </w:p>
          <w:p>
            <w:pPr>
              <w:pStyle w:val="Normal"/>
              <w:jc w:val="center"/>
              <w:rPr>
                <w:rFonts w:ascii="CG Times" w:hAnsi="CG Times" w:cs="CG Times"/>
              </w:rPr>
            </w:pPr>
            <w:r>
              <w:rPr>
                <w:rFonts w:cs="CG Times" w:ascii="CG Times" w:hAnsi="CG Times"/>
              </w:rPr>
              <w:t>Dennis</w:t>
            </w:r>
          </w:p>
          <w:p>
            <w:pPr>
              <w:pStyle w:val="Normal"/>
              <w:jc w:val="center"/>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tc>
        <w:tc>
          <w:tcPr>
            <w:tcW w:w="308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tc>
      </w:tr>
      <w:tr>
        <w:trPr>
          <w:trHeight w:val="578" w:hRule="atLeast"/>
        </w:trPr>
        <w:tc>
          <w:tcPr>
            <w:tcW w:w="3084"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 w:hAnsi="CG Times" w:cs="CG Times"/>
                <w:b/>
              </w:rPr>
            </w:pPr>
            <w:r>
              <w:rPr>
                <w:rFonts w:cs="CG Times" w:ascii="CG Times" w:hAnsi="CG Times"/>
                <w:b/>
              </w:rPr>
              <w:t>Scene Five</w:t>
            </w:r>
          </w:p>
          <w:p>
            <w:pPr>
              <w:pStyle w:val="Normal"/>
              <w:jc w:val="center"/>
              <w:rPr>
                <w:rFonts w:ascii="CG Times" w:hAnsi="CG Times" w:cs="CG Times"/>
              </w:rPr>
            </w:pPr>
            <w:r>
              <w:rPr>
                <w:rFonts w:cs="CG Times" w:ascii="CG Times" w:hAnsi="CG Times"/>
              </w:rPr>
              <w:t>Michael</w:t>
            </w:r>
          </w:p>
          <w:p>
            <w:pPr>
              <w:pStyle w:val="Normal"/>
              <w:jc w:val="center"/>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tc>
        <w:tc>
          <w:tcPr>
            <w:tcW w:w="308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tc>
      </w:tr>
      <w:tr>
        <w:trPr>
          <w:trHeight w:val="578" w:hRule="atLeast"/>
        </w:trPr>
        <w:tc>
          <w:tcPr>
            <w:tcW w:w="3084"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 w:hAnsi="CG Times" w:cs="CG Times"/>
              </w:rPr>
            </w:pPr>
            <w:r>
              <w:rPr>
                <w:rFonts w:cs="CG Times" w:ascii="CG Times" w:hAnsi="CG Times"/>
                <w:b/>
              </w:rPr>
              <w:t>Scene Six</w:t>
            </w:r>
          </w:p>
          <w:p>
            <w:pPr>
              <w:pStyle w:val="Normal"/>
              <w:jc w:val="center"/>
              <w:rPr>
                <w:rFonts w:ascii="CG Times" w:hAnsi="CG Times" w:cs="CG Times"/>
              </w:rPr>
            </w:pPr>
            <w:r>
              <w:rPr>
                <w:rFonts w:cs="CG Times" w:ascii="CG Times" w:hAnsi="CG Times"/>
              </w:rPr>
              <w:t>Sue</w:t>
            </w:r>
          </w:p>
          <w:p>
            <w:pPr>
              <w:pStyle w:val="Normal"/>
              <w:jc w:val="center"/>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tc>
        <w:tc>
          <w:tcPr>
            <w:tcW w:w="308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tc>
      </w:tr>
    </w:tbl>
    <w:p>
      <w:pPr>
        <w:pStyle w:val="Normal"/>
        <w:rPr>
          <w:rFonts w:ascii="CG Times" w:hAnsi="CG Times" w:cs="CG Times"/>
        </w:rPr>
      </w:pPr>
      <w:r>
        <w:rPr>
          <w:rFonts w:cs="CG Times" w:ascii="CG Times" w:hAnsi="CG Times"/>
        </w:rPr>
      </w:r>
    </w:p>
    <w:p>
      <w:pPr>
        <w:pStyle w:val="BodyText"/>
        <w:spacing w:before="0" w:after="240"/>
        <w:rPr>
          <w:rFonts w:ascii="CG Times" w:hAnsi="CG Times" w:cs="CG Times"/>
        </w:rPr>
      </w:pPr>
      <w:r>
        <w:rPr>
          <w:rFonts w:cs="CG Times" w:ascii="CG Times" w:hAnsi="CG Times"/>
        </w:rPr>
      </w:r>
    </w:p>
    <w:sectPr>
      <w:headerReference w:type="default" r:id="rId2"/>
      <w:headerReference w:type="first" r:id="rId3"/>
      <w:footerReference w:type="default" r:id="rId4"/>
      <w:footerReference w:type="first" r:id="rId5"/>
      <w:type w:val="nextPage"/>
      <w:pgSz w:w="12240" w:h="15840"/>
      <w:pgMar w:left="1440" w:right="1440" w:gutter="0" w:header="720" w:top="1915"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II</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ToolsFileType" w:val="Word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4"/>
    </w:rPr>
  </w:style>
  <w:style w:type="paragraph" w:styleId="Heading6">
    <w:name w:val="heading 6"/>
    <w:basedOn w:val="Normal"/>
    <w:next w:val="Normal"/>
    <w:qFormat/>
    <w:pPr>
      <w:numPr>
        <w:ilvl w:val="5"/>
        <w:numId w:val="1"/>
      </w:numPr>
      <w:spacing w:before="240" w:after="60"/>
      <w:outlineLvl w:val="5"/>
    </w:pPr>
    <w:rPr>
      <w:i/>
      <w:sz w:val="24"/>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b/>
      <w:i/>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24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IndentedQuote">
    <w:name w:val="!Indented Quote"/>
    <w:basedOn w:val="Normal"/>
    <w:qFormat/>
    <w:pPr>
      <w:spacing w:before="0" w:after="240"/>
      <w:ind w:hanging="0" w:start="1440" w:end="1440"/>
    </w:pPr>
    <w:rPr/>
  </w:style>
  <w:style w:type="paragraph" w:styleId="ReLine">
    <w:name w:val="!Re Line"/>
    <w:basedOn w:val="Normal"/>
    <w:qFormat/>
    <w:pPr>
      <w:spacing w:before="0" w:after="240"/>
      <w:ind w:hanging="720" w:start="2160" w:end="2160"/>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caps/>
    </w:rPr>
  </w:style>
  <w:style w:type="paragraph" w:styleId="BodyTextFirstIndent">
    <w:name w:val="Body Text First Indent"/>
    <w:basedOn w:val="BodyText"/>
    <w:qFormat/>
    <w:pPr>
      <w:ind w:firstLine="210" w:start="0" w:end="0"/>
    </w:pPr>
    <w:rPr/>
  </w:style>
  <w:style w:type="paragraph" w:styleId="FootnoteText">
    <w:name w:val="footnote text"/>
    <w:basedOn w:val="Normal"/>
    <w:pPr>
      <w:ind w:hanging="720" w:start="720" w:end="0"/>
    </w:pPr>
    <w:rPr/>
  </w:style>
  <w:style w:type="paragraph" w:styleId="PlainText">
    <w:name w:val="Plain Text"/>
    <w:basedOn w:val="Normal"/>
    <w:qFormat/>
    <w:pPr/>
    <w:rPr>
      <w:rFonts w:ascii="Courier New" w:hAnsi="Courier New" w:cs="Courier New"/>
      <w:sz w:val="20"/>
    </w:rPr>
  </w:style>
  <w:style w:type="paragraph" w:styleId="heading11">
    <w:name w:val="heading1"/>
    <w:basedOn w:val="Normal"/>
    <w:qFormat/>
    <w:pPr>
      <w:spacing w:before="0" w:after="360"/>
      <w:jc w:val="center"/>
    </w:pPr>
    <w:rPr>
      <w:b/>
    </w:rPr>
  </w:style>
  <w:style w:type="paragraph" w:styleId="indenttext">
    <w:name w:val="indent text"/>
    <w:basedOn w:val="Normal"/>
    <w:qFormat/>
    <w:pPr>
      <w:spacing w:before="0" w:after="240"/>
      <w:ind w:hanging="0" w:start="1440" w:end="1080"/>
      <w:jc w:val="both"/>
    </w:pPr>
    <w:rPr/>
  </w:style>
  <w:style w:type="paragraph" w:styleId="subheading">
    <w:name w:val="subheading"/>
    <w:basedOn w:val="Normal"/>
    <w:qFormat/>
    <w:pPr>
      <w:keepNext w:val="true"/>
      <w:spacing w:before="0" w:after="240"/>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rPr>
      <w:sz w:val="20"/>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1">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2000-09-13T17:48:00Z</dcterms:created>
  <dc:creator>For Help Call PC Support, x 4277</dc:creator>
  <dc:description/>
  <dc:language>en-CA</dc:language>
  <cp:lastModifiedBy>For Help Call PC Support, x 4277</cp:lastModifiedBy>
  <cp:lastPrinted>2000-09-13T16:17:00Z</cp:lastPrinted>
  <dcterms:modified xsi:type="dcterms:W3CDTF">2000-09-13T17:48:00Z</dcterms:modified>
  <cp:revision>2</cp:revision>
  <dc:subject/>
  <dc:title>Enron North American - September 14 - 15, 2000</dc:title>
</cp:coreProperties>
</file>