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1"/>
        <w:rPr/>
      </w:pPr>
      <w:r>
        <w:rPr>
          <w:rFonts w:cs="CG Times" w:ascii="CG Times" w:hAnsi="CG Times"/>
        </w:rPr>
        <w:t>Enron North America - September 14-15, 2000</w:t>
        <w:br/>
        <w:br/>
        <w:t>Commodities Trading and Marketing</w:t>
        <w:br/>
      </w:r>
      <w:r>
        <w:rPr>
          <w:rFonts w:cs="CG Times" w:ascii="CG Times" w:hAnsi="CG Times"/>
          <w:u w:val="single"/>
        </w:rPr>
        <w:t>Compliance Program Presentations</w:t>
      </w:r>
    </w:p>
    <w:p>
      <w:pPr>
        <w:pStyle w:val="indenttext"/>
        <w:rPr>
          <w:rFonts w:ascii="CG Times" w:hAnsi="CG Times" w:cs="CG Times"/>
        </w:rPr>
      </w:pPr>
      <w:r>
        <w:rPr>
          <w:rFonts w:cs="CG Times" w:ascii="CG Times" w:hAnsi="CG Times"/>
        </w:rPr>
        <w:t>Please read the following case studies.</w:t>
      </w:r>
    </w:p>
    <w:p>
      <w:pPr>
        <w:pStyle w:val="indenttext"/>
        <w:rPr>
          <w:rFonts w:ascii="CG Times" w:hAnsi="CG Times" w:cs="CG Times"/>
        </w:rPr>
      </w:pPr>
      <w:r>
        <w:rPr>
          <w:rFonts w:cs="CG Times" w:ascii="CG Times" w:hAnsi="CG Times"/>
        </w:rPr>
        <w:t>As you reflect on the conduct described, place yourself in the position of each Oil and Gas, Inc. (“OGI”) employee and evaluate that individual’s conduct and recommend what he/she should do.</w:t>
      </w:r>
    </w:p>
    <w:p>
      <w:pPr>
        <w:pStyle w:val="indenttext"/>
        <w:rPr>
          <w:rFonts w:ascii="CG Times" w:hAnsi="CG Times" w:cs="CG Times"/>
        </w:rPr>
      </w:pPr>
      <w:r>
        <w:rPr>
          <w:rFonts w:cs="CG Times" w:ascii="CG Times" w:hAnsi="CG Times"/>
        </w:rPr>
        <w:t>You will have approximately 30 minutes to prepare, in your pre-assigned group, your group’s answer on the “group score sheet”.  In the “score” column, record each character’s conduct on a sale of 0 (poor) to 100 (excellent).  In the “advice” column state what alternative conduct, if any, your group would recommend for each character.</w:t>
      </w:r>
    </w:p>
    <w:p>
      <w:pPr>
        <w:pStyle w:val="indenttext"/>
        <w:rPr>
          <w:rFonts w:ascii="CG Times" w:hAnsi="CG Times" w:cs="CG Times"/>
        </w:rPr>
      </w:pPr>
      <w:r>
        <w:rPr>
          <w:rFonts w:cs="CG Times" w:ascii="CG Times" w:hAnsi="CG Times"/>
        </w:rPr>
        <w:t>Please select a spokesperson for your group who will report on your group’s ideas and answers during the general discussion.</w:t>
      </w:r>
      <w:r>
        <w:br w:type="page"/>
      </w:r>
    </w:p>
    <w:p>
      <w:pPr>
        <w:pStyle w:val="heading11"/>
        <w:rPr>
          <w:rFonts w:ascii="CG Times" w:hAnsi="CG Times" w:cs="CG Times"/>
        </w:rPr>
      </w:pPr>
      <w:r>
        <w:rPr>
          <w:rFonts w:cs="CG Times" w:ascii="CG Times" w:hAnsi="CG Times"/>
        </w:rPr>
        <w:t>A Case Study</w:t>
      </w:r>
    </w:p>
    <w:p>
      <w:pPr>
        <w:pStyle w:val="subheading"/>
        <w:rPr>
          <w:rFonts w:ascii="CG Times" w:hAnsi="CG Times" w:cs="CG Times"/>
        </w:rPr>
      </w:pPr>
      <w:r>
        <w:rPr>
          <w:rFonts w:cs="CG Times" w:ascii="CG Times" w:hAnsi="CG Times"/>
        </w:rPr>
        <w:t>Introduction</w:t>
      </w:r>
    </w:p>
    <w:p>
      <w:pPr>
        <w:pStyle w:val="BodyText"/>
        <w:rPr>
          <w:rFonts w:ascii="CG Times" w:hAnsi="CG Times" w:cs="CG Times"/>
        </w:rPr>
      </w:pPr>
      <w:r>
        <w:rPr>
          <w:rFonts w:cs="CG Times" w:ascii="CG Times" w:hAnsi="CG Times"/>
        </w:rPr>
        <w:t>Oil and Gas, Inc. (“OGI”) is an integrated oil and natural gas company with onshore and offshore production facilities, pipeline and refining capacity and gas station and heating oil distributorships.  To manage its own oil and gas interests, it is an active trader in the futures and options markets and also engages in swaps and forward transactions.  In addition, as a service to the producers, middlemen and end-users that it buys from and markets and sells oil and gas and products and power to, OGI offers tailored risk management products including swaps.  OGI has a substantial number of traders and marketers that it has hired over the last several years.</w:t>
      </w:r>
    </w:p>
    <w:p>
      <w:pPr>
        <w:pStyle w:val="subheading"/>
        <w:rPr>
          <w:rFonts w:ascii="CG Times" w:hAnsi="CG Times" w:cs="CG Times"/>
        </w:rPr>
      </w:pPr>
      <w:r>
        <w:rPr>
          <w:rFonts w:cs="CG Times" w:ascii="CG Times" w:hAnsi="CG Times"/>
        </w:rPr>
        <w:t>Scene One</w:t>
      </w:r>
    </w:p>
    <w:p>
      <w:pPr>
        <w:pStyle w:val="BodyText"/>
        <w:rPr>
          <w:rFonts w:ascii="CG Times" w:hAnsi="CG Times" w:cs="CG Times"/>
        </w:rPr>
      </w:pPr>
      <w:r>
        <w:rPr>
          <w:rFonts w:cs="CG Times" w:ascii="CG Times" w:hAnsi="CG Times"/>
        </w:rPr>
        <w:t>Platts Oil Daily has taken to calling Sam, OGI’s head crude oil trader, to collect information on the market and to confirm OGI’s cash market transactions.  Sam is generally very cooperative, giving Platts trade prices on confirmed transactions.  However, when Sam believes that the transaction is off market because of special pricing arrangements tied to other transactions or advice, he tells Platts that he cannot confirm that a transaction took place.  Linda, OGI’s chief market strategist, knowing that OGI has outstanding contracts to sell crude using Platts’ prices, suggests that Sam refuse to confirm trades to Platts that do not support OGI’s strategic position (trades below OGI’s target prices).  Sam says he will think about it and consider giving her proposal a try.</w:t>
      </w:r>
    </w:p>
    <w:p>
      <w:pPr>
        <w:pStyle w:val="subheading"/>
        <w:rPr>
          <w:rFonts w:ascii="CG Times" w:hAnsi="CG Times" w:cs="CG Times"/>
        </w:rPr>
      </w:pPr>
      <w:r>
        <w:rPr>
          <w:rFonts w:cs="CG Times" w:ascii="CG Times" w:hAnsi="CG Times"/>
        </w:rPr>
        <w:t>Scene Two</w:t>
      </w:r>
    </w:p>
    <w:p>
      <w:pPr>
        <w:pStyle w:val="BodyText"/>
        <w:rPr>
          <w:rFonts w:ascii="CG Times" w:hAnsi="CG Times" w:cs="CG Times"/>
        </w:rPr>
      </w:pPr>
      <w:r>
        <w:rPr>
          <w:rFonts w:cs="CG Times" w:ascii="CG Times" w:hAnsi="CG Times"/>
        </w:rPr>
        <w:t>OGI has a 5000 contract NYMEX May short crude oil futures position.  Josh, OGI’s chief oil trading strategist, realizes that he can divert two cargoes (1 million barrels) of unsold crude that he had planned for Gulf Coast delivery to Cushing pipeline delivery.  While selling into Cushing will cost him 50 cents per barrel compared to what he could sell the crude for in the Gulf Coast, Josh decides to make the change because he believes that selling the crude in Cushing will drive the price down, and he will get an overall better return taking into account OGI’s NYMEX short.</w:t>
      </w:r>
    </w:p>
    <w:p>
      <w:pPr>
        <w:pStyle w:val="BodyText"/>
        <w:rPr>
          <w:rFonts w:ascii="CG Times" w:hAnsi="CG Times" w:cs="CG Times"/>
        </w:rPr>
      </w:pPr>
      <w:r>
        <w:rPr>
          <w:rFonts w:cs="CG Times" w:ascii="CG Times" w:hAnsi="CG Times"/>
          <w:b/>
          <w:u w:val="single"/>
        </w:rPr>
        <w:t>Scene Three</w:t>
      </w:r>
    </w:p>
    <w:p>
      <w:pPr>
        <w:pStyle w:val="BodyText"/>
        <w:rPr>
          <w:rFonts w:ascii="CG Times" w:hAnsi="CG Times" w:cs="CG Times"/>
        </w:rPr>
      </w:pPr>
      <w:r>
        <w:rPr>
          <w:rFonts w:cs="CG Times" w:ascii="CG Times" w:hAnsi="CG Times"/>
        </w:rPr>
        <w:t>Alan, trader for OGI, is asked to go on a client call to the Arizona Department of Water &amp; Power (“AWP”), a major purchaser of natural gas form OGI.  In the course of his discussions with AWP’s head trader, Steve, Alan discovers that DWP has never entered into a swap transaction.  Alan explains the benefits of a swap structure as a way to lock in natural gas prices.  He describes a structure to Steve that will allow AWP to make substantial profit if natural gas prices increase.  They do the transaction.  With natural gas prices declining rapidly, Steve calls Alan and asks him about getting out of the transaction.  Steve raises the question of whether AWP had the authority to enter into the transaction in the first place.  Knowing that if he responds to Steve’s request for an exit price the loss will likely result in the loss of the client, Alan suggests that Steve roll the transaction forward to capture the expected longer term price increases.  Howard, Alan’s boss congratulates him on a very profitable new trade.</w:t>
      </w:r>
    </w:p>
    <w:p>
      <w:pPr>
        <w:pStyle w:val="subheading"/>
        <w:rPr>
          <w:rFonts w:ascii="CG Times" w:hAnsi="CG Times" w:cs="CG Times"/>
        </w:rPr>
      </w:pPr>
      <w:r>
        <w:rPr>
          <w:rFonts w:cs="CG Times" w:ascii="CG Times" w:hAnsi="CG Times"/>
        </w:rPr>
        <w:t>Scene Four</w:t>
      </w:r>
    </w:p>
    <w:p>
      <w:pPr>
        <w:pStyle w:val="BodyText"/>
        <w:rPr>
          <w:rFonts w:ascii="CG Times" w:hAnsi="CG Times" w:cs="CG Times"/>
        </w:rPr>
      </w:pPr>
      <w:r>
        <w:rPr>
          <w:rFonts w:cs="CG Times" w:ascii="CG Times" w:hAnsi="CG Times"/>
        </w:rPr>
        <w:t>Five minutes before the close, Eric, an upstairs trader of OGI calls one of the independent NYMEX floor brokerage firms that OGI uses and talks to Phil, an OGI phone clerk.  Eric has actual buying needs but doesn’t need to trade on the close.  However, he is concerned about that day’s settlement price which will be used to price over 30 BCF of OGI’s swaps and cash gas deals.  He instructs Phil to watch the close carefully.  If the market starts to drop, Eric tells Phil to instruct his floor broker to buy the market aggressively up to 1000 contracts to make sure, in doing so, that the market does not drop on the close.</w:t>
      </w:r>
    </w:p>
    <w:p>
      <w:pPr>
        <w:pStyle w:val="subheading"/>
        <w:rPr>
          <w:rFonts w:ascii="CG Times" w:hAnsi="CG Times" w:cs="CG Times"/>
        </w:rPr>
      </w:pPr>
      <w:r>
        <w:rPr>
          <w:rFonts w:cs="CG Times" w:ascii="CG Times" w:hAnsi="CG Times"/>
        </w:rPr>
        <w:t>Scene Five</w:t>
      </w:r>
    </w:p>
    <w:p>
      <w:pPr>
        <w:pStyle w:val="BodyText"/>
        <w:rPr>
          <w:rFonts w:ascii="CG Times" w:hAnsi="CG Times" w:cs="CG Times"/>
        </w:rPr>
      </w:pPr>
      <w:r>
        <w:rPr>
          <w:rFonts w:cs="CG Times" w:ascii="CG Times" w:hAnsi="CG Times"/>
        </w:rPr>
        <w:t>Phoenix Offshore, Inc.  with a number of off-shore production properties in various stages of development, went public with an offering of its shares last year.  The company, however, has experienced technical setbacks that have delayed bringing a number of its wells on-line.  Nonetheless, to impress its shareholders, Phoenix wants to show a substantial inventory of natural gas at year end.  Phoenix’s treasurer, Lisa, explains the situation to Terry, an OGI trader, and Terry offers few suggestions.  Lisa decides to do a transaction with OGI whereby gas will be delivered to Phoenix on December 15 and returned to OGI on January 15.  Before the deal is finalized, Terry has seconds thoughts and tells his senior vice president, Leo, that Phoenix may be attempting to use the transaction to deceive its investors.  Leo tells Terry that these are issues for Phoenix and that, if Phoenix doesn’t have a problem, it should not concern OGI.</w:t>
      </w:r>
    </w:p>
    <w:p>
      <w:pPr>
        <w:pStyle w:val="subheading"/>
        <w:rPr>
          <w:rFonts w:ascii="CG Times" w:hAnsi="CG Times" w:cs="CG Times"/>
        </w:rPr>
      </w:pPr>
      <w:r>
        <w:rPr>
          <w:rFonts w:cs="CG Times" w:ascii="CG Times" w:hAnsi="CG Times"/>
        </w:rPr>
        <w:t>Scene Six</w:t>
      </w:r>
    </w:p>
    <w:p>
      <w:pPr>
        <w:pStyle w:val="BodyText"/>
        <w:rPr>
          <w:rFonts w:ascii="CG Times" w:hAnsi="CG Times" w:cs="CG Times"/>
        </w:rPr>
      </w:pPr>
      <w:r>
        <w:rPr>
          <w:rFonts w:cs="CG Times" w:ascii="CG Times" w:hAnsi="CG Times"/>
        </w:rPr>
        <w:t>OGI has entered into an exclusive agreement to handle the natural gas liquids storage for GMI,  a major natural gas liquids supplier in the Gulf.  Earl, OGI’s manager in charge of the storage facilities, notices that GMI’s storage volumes are unusually low for the season and that GMI has placed a new order to ship out liquids.  He calls Sally, OGI’s head NGL trader and tells her what he knows, recommending that OGI go long NGL in the region.  Sally is concerned that OGI should not be profiting from using customer information but decides that this trade is too good to pass up.</w:t>
      </w:r>
    </w:p>
    <w:p>
      <w:pPr>
        <w:pStyle w:val="BodyText"/>
        <w:rPr>
          <w:rFonts w:ascii="CG Times" w:hAnsi="CG Times" w:cs="CG Times"/>
        </w:rPr>
      </w:pPr>
      <w:r>
        <w:rPr>
          <w:rFonts w:cs="CG Times" w:ascii="CG Times" w:hAnsi="CG Times"/>
        </w:rPr>
      </w:r>
    </w:p>
    <w:p>
      <w:pPr>
        <w:pStyle w:val="BodyText"/>
        <w:rPr>
          <w:rFonts w:ascii="CG Times" w:hAnsi="CG Times" w:cs="CG Times"/>
        </w:rPr>
      </w:pPr>
      <w:r>
        <w:rPr>
          <w:rFonts w:cs="CG Times" w:ascii="CG Times" w:hAnsi="CG Times"/>
        </w:rPr>
      </w:r>
    </w:p>
    <w:p>
      <w:pPr>
        <w:pStyle w:val="Normal"/>
        <w:jc w:val="center"/>
        <w:rPr>
          <w:rFonts w:ascii="CG Times" w:hAnsi="CG Times" w:cs="CG Times"/>
        </w:rPr>
      </w:pPr>
      <w:r>
        <w:rPr>
          <w:rFonts w:cs="CG Times" w:ascii="CG Times" w:hAnsi="CG Times"/>
          <w:b/>
          <w:u w:val="single"/>
        </w:rPr>
        <w:t>SCORE SHEET</w:t>
      </w:r>
    </w:p>
    <w:p>
      <w:pPr>
        <w:pStyle w:val="Normal"/>
        <w:jc w:val="center"/>
        <w:rPr>
          <w:rFonts w:ascii="CG Times" w:hAnsi="CG Times" w:cs="CG Times"/>
          <w:b/>
        </w:rPr>
      </w:pPr>
      <w:r>
        <w:rPr>
          <w:rFonts w:cs="CG Times" w:ascii="CG Times" w:hAnsi="CG Times"/>
          <w:b/>
        </w:rPr>
        <w:t>Compliance Program</w:t>
      </w:r>
    </w:p>
    <w:p>
      <w:pPr>
        <w:pStyle w:val="Normal"/>
        <w:jc w:val="center"/>
        <w:rPr>
          <w:rFonts w:ascii="CG Times" w:hAnsi="CG Times" w:cs="CG Times"/>
        </w:rPr>
      </w:pPr>
      <w:r>
        <w:rPr>
          <w:rFonts w:cs="CG Times" w:ascii="CG Times" w:hAnsi="CG Times"/>
          <w:b/>
        </w:rPr>
        <w:t>September 14-15, 2000</w:t>
      </w:r>
    </w:p>
    <w:p>
      <w:pPr>
        <w:pStyle w:val="Normal"/>
        <w:rPr>
          <w:rFonts w:ascii="CG Times" w:hAnsi="CG Times" w:cs="CG Times"/>
        </w:rPr>
      </w:pPr>
      <w:r>
        <w:rPr>
          <w:rFonts w:cs="CG Times" w:ascii="CG Times" w:hAnsi="CG Times"/>
        </w:rPr>
      </w:r>
    </w:p>
    <w:tbl>
      <w:tblPr>
        <w:tblW w:w="9360" w:type="dxa"/>
        <w:jc w:val="start"/>
        <w:tblInd w:w="108" w:type="dxa"/>
        <w:tblLayout w:type="fixed"/>
        <w:tblCellMar>
          <w:top w:w="0" w:type="dxa"/>
          <w:start w:w="108" w:type="dxa"/>
          <w:bottom w:w="0" w:type="dxa"/>
          <w:end w:w="108" w:type="dxa"/>
        </w:tblCellMar>
      </w:tblPr>
      <w:tblGrid>
        <w:gridCol w:w="3084"/>
        <w:gridCol w:w="3192"/>
        <w:gridCol w:w="3084"/>
      </w:tblGrid>
      <w:tr>
        <w:trPr/>
        <w:tc>
          <w:tcPr>
            <w:tcW w:w="308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tc>
        <w:tc>
          <w:tcPr>
            <w:tcW w:w="3192"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 w:hAnsi="CG Times" w:cs="CG Times"/>
                <w:b/>
              </w:rPr>
            </w:pPr>
            <w:r>
              <w:rPr>
                <w:rFonts w:cs="CG Times" w:ascii="CG Times" w:hAnsi="CG Times"/>
                <w:b/>
              </w:rPr>
              <w:t>SCORE</w:t>
            </w:r>
          </w:p>
          <w:p>
            <w:pPr>
              <w:pStyle w:val="Normal"/>
              <w:jc w:val="center"/>
              <w:rPr>
                <w:rFonts w:ascii="CG Times" w:hAnsi="CG Times" w:cs="CG Times"/>
                <w:b/>
              </w:rPr>
            </w:pPr>
            <w:r>
              <w:rPr>
                <w:rFonts w:cs="CG Times" w:ascii="CG Times" w:hAnsi="CG Times"/>
                <w:b/>
              </w:rPr>
              <w:t>0 (Poor) – 100 (Excellent)</w:t>
            </w:r>
          </w:p>
        </w:tc>
        <w:tc>
          <w:tcPr>
            <w:tcW w:w="3084"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 w:hAnsi="CG Times" w:cs="CG Times"/>
                <w:b/>
              </w:rPr>
            </w:pPr>
            <w:r>
              <w:rPr>
                <w:rFonts w:cs="CG Times" w:ascii="CG Times" w:hAnsi="CG Times"/>
                <w:b/>
              </w:rPr>
              <w:t>ADVICE</w:t>
            </w:r>
          </w:p>
        </w:tc>
      </w:tr>
      <w:tr>
        <w:trPr>
          <w:trHeight w:val="578" w:hRule="atLeast"/>
        </w:trPr>
        <w:tc>
          <w:tcPr>
            <w:tcW w:w="3084"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CG Times" w:hAnsi="CG Times" w:cs="CG Times"/>
              </w:rPr>
            </w:pPr>
            <w:r>
              <w:rPr>
                <w:rFonts w:cs="CG Times" w:ascii="CG Times" w:hAnsi="CG Times"/>
                <w:b/>
              </w:rPr>
              <w:t>Scene One</w:t>
            </w:r>
          </w:p>
          <w:p>
            <w:pPr>
              <w:pStyle w:val="Normal"/>
              <w:jc w:val="center"/>
              <w:rPr>
                <w:rFonts w:ascii="CG Times" w:hAnsi="CG Times" w:cs="CG Times"/>
              </w:rPr>
            </w:pPr>
            <w:r>
              <w:rPr>
                <w:rFonts w:cs="CG Times" w:ascii="CG Times" w:hAnsi="CG Times"/>
              </w:rPr>
              <w:t>Sam</w:t>
            </w:r>
          </w:p>
          <w:p>
            <w:pPr>
              <w:pStyle w:val="Normal"/>
              <w:jc w:val="center"/>
              <w:rPr>
                <w:rFonts w:ascii="CG Times" w:hAnsi="CG Times" w:cs="CG Times"/>
              </w:rPr>
            </w:pPr>
            <w:r>
              <w:rPr>
                <w:rFonts w:cs="CG Times" w:ascii="CG Times" w:hAnsi="CG Times"/>
              </w:rPr>
            </w:r>
          </w:p>
          <w:p>
            <w:pPr>
              <w:pStyle w:val="Normal"/>
              <w:jc w:val="center"/>
              <w:rPr>
                <w:rFonts w:ascii="CG Times" w:hAnsi="CG Times" w:cs="CG Times"/>
              </w:rPr>
            </w:pPr>
            <w:r>
              <w:rPr>
                <w:rFonts w:cs="CG Times" w:ascii="CG Times" w:hAnsi="CG Times"/>
              </w:rPr>
            </w:r>
          </w:p>
          <w:p>
            <w:pPr>
              <w:pStyle w:val="Normal"/>
              <w:jc w:val="center"/>
              <w:rPr>
                <w:rFonts w:ascii="CG Times" w:hAnsi="CG Times" w:cs="CG Times"/>
              </w:rPr>
            </w:pPr>
            <w:r>
              <w:rPr>
                <w:rFonts w:cs="CG Times" w:ascii="CG Times" w:hAnsi="CG Times"/>
              </w:rPr>
              <w:t>Linda</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tc>
        <w:tc>
          <w:tcPr>
            <w:tcW w:w="308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tc>
      </w:tr>
      <w:tr>
        <w:trPr>
          <w:trHeight w:val="577" w:hRule="atLeast"/>
        </w:trPr>
        <w:tc>
          <w:tcPr>
            <w:tcW w:w="308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CG Times" w:hAnsi="CG Times" w:cs="CG Times"/>
                <w:b/>
              </w:rPr>
            </w:pPr>
            <w:r>
              <w:rPr>
                <w:rFonts w:cs="CG Times" w:ascii="CG Times" w:hAnsi="CG Times"/>
                <w:b/>
              </w:rPr>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b/>
              </w:rPr>
            </w:pPr>
            <w:r>
              <w:rPr>
                <w:rFonts w:cs="CG Times" w:ascii="CG Times" w:hAnsi="CG Times"/>
                <w:b/>
              </w:rPr>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tc>
        <w:tc>
          <w:tcPr>
            <w:tcW w:w="308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tc>
      </w:tr>
      <w:tr>
        <w:trPr/>
        <w:tc>
          <w:tcPr>
            <w:tcW w:w="3084" w:type="dxa"/>
            <w:tcBorders>
              <w:top w:val="single" w:sz="4" w:space="0" w:color="000000"/>
              <w:start w:val="single" w:sz="4" w:space="0" w:color="000000"/>
              <w:bottom w:val="single" w:sz="4" w:space="0" w:color="000000"/>
              <w:end w:val="single" w:sz="4" w:space="0" w:color="000000"/>
            </w:tcBorders>
          </w:tcPr>
          <w:p>
            <w:pPr>
              <w:pStyle w:val="Normal"/>
              <w:jc w:val="center"/>
              <w:rPr>
                <w:rFonts w:ascii="CG Times" w:hAnsi="CG Times" w:cs="CG Times"/>
              </w:rPr>
            </w:pPr>
            <w:r>
              <w:rPr>
                <w:rFonts w:cs="CG Times" w:ascii="CG Times" w:hAnsi="CG Times"/>
                <w:b/>
              </w:rPr>
              <w:t>Scene Two</w:t>
            </w:r>
          </w:p>
          <w:p>
            <w:pPr>
              <w:pStyle w:val="Normal"/>
              <w:jc w:val="center"/>
              <w:rPr>
                <w:rFonts w:ascii="CG Times" w:hAnsi="CG Times" w:cs="CG Times"/>
              </w:rPr>
            </w:pPr>
            <w:r>
              <w:rPr>
                <w:rFonts w:cs="CG Times" w:ascii="CG Times" w:hAnsi="CG Times"/>
              </w:rPr>
              <w:t>Josh</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tc>
        <w:tc>
          <w:tcPr>
            <w:tcW w:w="308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tc>
      </w:tr>
      <w:tr>
        <w:trPr>
          <w:trHeight w:val="578" w:hRule="atLeast"/>
        </w:trPr>
        <w:tc>
          <w:tcPr>
            <w:tcW w:w="3084"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CG Times" w:hAnsi="CG Times" w:cs="CG Times"/>
                <w:b/>
              </w:rPr>
            </w:pPr>
            <w:r>
              <w:rPr>
                <w:rFonts w:cs="CG Times" w:ascii="CG Times" w:hAnsi="CG Times"/>
                <w:b/>
              </w:rPr>
              <w:t>Scene Three</w:t>
            </w:r>
          </w:p>
          <w:p>
            <w:pPr>
              <w:pStyle w:val="Normal"/>
              <w:jc w:val="center"/>
              <w:rPr>
                <w:rFonts w:ascii="CG Times" w:hAnsi="CG Times" w:cs="CG Times"/>
              </w:rPr>
            </w:pPr>
            <w:r>
              <w:rPr>
                <w:rFonts w:cs="CG Times" w:ascii="CG Times" w:hAnsi="CG Times"/>
              </w:rPr>
              <w:t>Alan</w:t>
            </w:r>
          </w:p>
          <w:p>
            <w:pPr>
              <w:pStyle w:val="Normal"/>
              <w:jc w:val="center"/>
              <w:rPr>
                <w:rFonts w:ascii="CG Times" w:hAnsi="CG Times" w:cs="CG Times"/>
              </w:rPr>
            </w:pPr>
            <w:r>
              <w:rPr>
                <w:rFonts w:cs="CG Times" w:ascii="CG Times" w:hAnsi="CG Times"/>
              </w:rPr>
            </w:r>
          </w:p>
          <w:p>
            <w:pPr>
              <w:pStyle w:val="Normal"/>
              <w:jc w:val="center"/>
              <w:rPr>
                <w:rFonts w:ascii="CG Times" w:hAnsi="CG Times" w:cs="CG Times"/>
              </w:rPr>
            </w:pPr>
            <w:r>
              <w:rPr>
                <w:rFonts w:cs="CG Times" w:ascii="CG Times" w:hAnsi="CG Times"/>
              </w:rPr>
            </w:r>
          </w:p>
          <w:p>
            <w:pPr>
              <w:pStyle w:val="Normal"/>
              <w:jc w:val="center"/>
              <w:rPr>
                <w:rFonts w:ascii="CG Times" w:hAnsi="CG Times" w:cs="CG Times"/>
              </w:rPr>
            </w:pPr>
            <w:r>
              <w:rPr>
                <w:rFonts w:cs="CG Times" w:ascii="CG Times" w:hAnsi="CG Times"/>
              </w:rPr>
              <w:t>Howard</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tc>
        <w:tc>
          <w:tcPr>
            <w:tcW w:w="308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tc>
      </w:tr>
      <w:tr>
        <w:trPr>
          <w:trHeight w:val="577" w:hRule="atLeast"/>
        </w:trPr>
        <w:tc>
          <w:tcPr>
            <w:tcW w:w="308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CG Times" w:hAnsi="CG Times" w:cs="CG Times"/>
                <w:b/>
              </w:rPr>
            </w:pPr>
            <w:r>
              <w:rPr>
                <w:rFonts w:cs="CG Times" w:ascii="CG Times" w:hAnsi="CG Times"/>
                <w:b/>
              </w:rPr>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b/>
              </w:rPr>
            </w:pPr>
            <w:r>
              <w:rPr>
                <w:rFonts w:cs="CG Times" w:ascii="CG Times" w:hAnsi="CG Times"/>
                <w:b/>
              </w:rPr>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tc>
        <w:tc>
          <w:tcPr>
            <w:tcW w:w="308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tc>
      </w:tr>
      <w:tr>
        <w:trPr>
          <w:trHeight w:val="578" w:hRule="atLeast"/>
        </w:trPr>
        <w:tc>
          <w:tcPr>
            <w:tcW w:w="3084"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CG Times" w:hAnsi="CG Times" w:cs="CG Times"/>
              </w:rPr>
            </w:pPr>
            <w:r>
              <w:rPr>
                <w:rFonts w:cs="CG Times" w:ascii="CG Times" w:hAnsi="CG Times"/>
                <w:b/>
              </w:rPr>
              <w:t>Scene Four</w:t>
            </w:r>
          </w:p>
          <w:p>
            <w:pPr>
              <w:pStyle w:val="Normal"/>
              <w:jc w:val="center"/>
              <w:rPr>
                <w:rFonts w:ascii="CG Times" w:hAnsi="CG Times" w:cs="CG Times"/>
              </w:rPr>
            </w:pPr>
            <w:r>
              <w:rPr>
                <w:rFonts w:cs="CG Times" w:ascii="CG Times" w:hAnsi="CG Times"/>
              </w:rPr>
              <w:t>Eric</w:t>
            </w:r>
          </w:p>
          <w:p>
            <w:pPr>
              <w:pStyle w:val="Normal"/>
              <w:jc w:val="center"/>
              <w:rPr>
                <w:rFonts w:ascii="CG Times" w:hAnsi="CG Times" w:cs="CG Times"/>
              </w:rPr>
            </w:pPr>
            <w:r>
              <w:rPr>
                <w:rFonts w:cs="CG Times" w:ascii="CG Times" w:hAnsi="CG Times"/>
              </w:rPr>
            </w:r>
          </w:p>
          <w:p>
            <w:pPr>
              <w:pStyle w:val="Normal"/>
              <w:jc w:val="center"/>
              <w:rPr>
                <w:rFonts w:ascii="CG Times" w:hAnsi="CG Times" w:cs="CG Times"/>
              </w:rPr>
            </w:pPr>
            <w:r>
              <w:rPr>
                <w:rFonts w:cs="CG Times" w:ascii="CG Times" w:hAnsi="CG Times"/>
              </w:rPr>
            </w:r>
          </w:p>
          <w:p>
            <w:pPr>
              <w:pStyle w:val="Normal"/>
              <w:jc w:val="center"/>
              <w:rPr>
                <w:rFonts w:ascii="CG Times" w:hAnsi="CG Times" w:cs="CG Times"/>
              </w:rPr>
            </w:pPr>
            <w:r>
              <w:rPr>
                <w:rFonts w:cs="CG Times" w:ascii="CG Times" w:hAnsi="CG Times"/>
              </w:rPr>
              <w:t>Phil</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tc>
        <w:tc>
          <w:tcPr>
            <w:tcW w:w="308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tc>
      </w:tr>
      <w:tr>
        <w:trPr>
          <w:trHeight w:val="577" w:hRule="atLeast"/>
        </w:trPr>
        <w:tc>
          <w:tcPr>
            <w:tcW w:w="308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CG Times" w:hAnsi="CG Times" w:cs="CG Times"/>
                <w:b/>
              </w:rPr>
            </w:pPr>
            <w:r>
              <w:rPr>
                <w:rFonts w:cs="CG Times" w:ascii="CG Times" w:hAnsi="CG Times"/>
                <w:b/>
              </w:rPr>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b/>
              </w:rPr>
            </w:pPr>
            <w:r>
              <w:rPr>
                <w:rFonts w:cs="CG Times" w:ascii="CG Times" w:hAnsi="CG Times"/>
                <w:b/>
              </w:rPr>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tc>
        <w:tc>
          <w:tcPr>
            <w:tcW w:w="308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tc>
      </w:tr>
      <w:tr>
        <w:trPr>
          <w:trHeight w:val="578" w:hRule="atLeast"/>
        </w:trPr>
        <w:tc>
          <w:tcPr>
            <w:tcW w:w="3084"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CG Times" w:hAnsi="CG Times" w:cs="CG Times"/>
                <w:b/>
              </w:rPr>
            </w:pPr>
            <w:r>
              <w:rPr>
                <w:rFonts w:cs="CG Times" w:ascii="CG Times" w:hAnsi="CG Times"/>
                <w:b/>
              </w:rPr>
              <w:t>Scene Five</w:t>
            </w:r>
          </w:p>
          <w:p>
            <w:pPr>
              <w:pStyle w:val="Normal"/>
              <w:jc w:val="center"/>
              <w:rPr>
                <w:rFonts w:ascii="CG Times" w:hAnsi="CG Times" w:cs="CG Times"/>
              </w:rPr>
            </w:pPr>
            <w:r>
              <w:rPr>
                <w:rFonts w:cs="CG Times" w:ascii="CG Times" w:hAnsi="CG Times"/>
              </w:rPr>
              <w:t>Terry</w:t>
            </w:r>
          </w:p>
          <w:p>
            <w:pPr>
              <w:pStyle w:val="Normal"/>
              <w:jc w:val="center"/>
              <w:rPr>
                <w:rFonts w:ascii="CG Times" w:hAnsi="CG Times" w:cs="CG Times"/>
              </w:rPr>
            </w:pPr>
            <w:r>
              <w:rPr>
                <w:rFonts w:cs="CG Times" w:ascii="CG Times" w:hAnsi="CG Times"/>
              </w:rPr>
            </w:r>
          </w:p>
          <w:p>
            <w:pPr>
              <w:pStyle w:val="Normal"/>
              <w:jc w:val="center"/>
              <w:rPr>
                <w:rFonts w:ascii="CG Times" w:hAnsi="CG Times" w:cs="CG Times"/>
              </w:rPr>
            </w:pPr>
            <w:r>
              <w:rPr>
                <w:rFonts w:cs="CG Times" w:ascii="CG Times" w:hAnsi="CG Times"/>
              </w:rPr>
            </w:r>
          </w:p>
          <w:p>
            <w:pPr>
              <w:pStyle w:val="Normal"/>
              <w:jc w:val="center"/>
              <w:rPr>
                <w:rFonts w:ascii="CG Times" w:hAnsi="CG Times" w:cs="CG Times"/>
              </w:rPr>
            </w:pPr>
            <w:r>
              <w:rPr>
                <w:rFonts w:cs="CG Times" w:ascii="CG Times" w:hAnsi="CG Times"/>
              </w:rPr>
              <w:t>Leo</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tc>
        <w:tc>
          <w:tcPr>
            <w:tcW w:w="308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tc>
      </w:tr>
      <w:tr>
        <w:trPr>
          <w:trHeight w:val="577" w:hRule="atLeast"/>
        </w:trPr>
        <w:tc>
          <w:tcPr>
            <w:tcW w:w="308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CG Times" w:hAnsi="CG Times" w:cs="CG Times"/>
                <w:b/>
              </w:rPr>
            </w:pPr>
            <w:r>
              <w:rPr>
                <w:rFonts w:cs="CG Times" w:ascii="CG Times" w:hAnsi="CG Times"/>
                <w:b/>
              </w:rPr>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b/>
              </w:rPr>
            </w:pPr>
            <w:r>
              <w:rPr>
                <w:rFonts w:cs="CG Times" w:ascii="CG Times" w:hAnsi="CG Times"/>
                <w:b/>
              </w:rPr>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tc>
        <w:tc>
          <w:tcPr>
            <w:tcW w:w="308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tc>
      </w:tr>
      <w:tr>
        <w:trPr>
          <w:trHeight w:val="578" w:hRule="atLeast"/>
        </w:trPr>
        <w:tc>
          <w:tcPr>
            <w:tcW w:w="3084" w:type="dxa"/>
            <w:vMerge w:val="restart"/>
            <w:tcBorders>
              <w:top w:val="single" w:sz="4" w:space="0" w:color="000000"/>
              <w:start w:val="single" w:sz="4" w:space="0" w:color="000000"/>
              <w:bottom w:val="single" w:sz="4" w:space="0" w:color="000000"/>
              <w:end w:val="single" w:sz="4" w:space="0" w:color="000000"/>
            </w:tcBorders>
          </w:tcPr>
          <w:p>
            <w:pPr>
              <w:pStyle w:val="Normal"/>
              <w:jc w:val="center"/>
              <w:rPr>
                <w:rFonts w:ascii="CG Times" w:hAnsi="CG Times" w:cs="CG Times"/>
              </w:rPr>
            </w:pPr>
            <w:r>
              <w:rPr>
                <w:rFonts w:cs="CG Times" w:ascii="CG Times" w:hAnsi="CG Times"/>
                <w:b/>
              </w:rPr>
              <w:t>Scene Six</w:t>
            </w:r>
          </w:p>
          <w:p>
            <w:pPr>
              <w:pStyle w:val="Normal"/>
              <w:jc w:val="center"/>
              <w:rPr>
                <w:rFonts w:ascii="CG Times" w:hAnsi="CG Times" w:cs="CG Times"/>
              </w:rPr>
            </w:pPr>
            <w:r>
              <w:rPr>
                <w:rFonts w:cs="CG Times" w:ascii="CG Times" w:hAnsi="CG Times"/>
              </w:rPr>
              <w:t>Earl</w:t>
            </w:r>
          </w:p>
          <w:p>
            <w:pPr>
              <w:pStyle w:val="Normal"/>
              <w:jc w:val="center"/>
              <w:rPr>
                <w:rFonts w:ascii="CG Times" w:hAnsi="CG Times" w:cs="CG Times"/>
              </w:rPr>
            </w:pPr>
            <w:r>
              <w:rPr>
                <w:rFonts w:cs="CG Times" w:ascii="CG Times" w:hAnsi="CG Times"/>
              </w:rPr>
            </w:r>
          </w:p>
          <w:p>
            <w:pPr>
              <w:pStyle w:val="Normal"/>
              <w:jc w:val="center"/>
              <w:rPr>
                <w:rFonts w:ascii="CG Times" w:hAnsi="CG Times" w:cs="CG Times"/>
              </w:rPr>
            </w:pPr>
            <w:r>
              <w:rPr>
                <w:rFonts w:cs="CG Times" w:ascii="CG Times" w:hAnsi="CG Times"/>
              </w:rPr>
            </w:r>
          </w:p>
          <w:p>
            <w:pPr>
              <w:pStyle w:val="Normal"/>
              <w:jc w:val="center"/>
              <w:rPr>
                <w:rFonts w:ascii="CG Times" w:hAnsi="CG Times" w:cs="CG Times"/>
              </w:rPr>
            </w:pPr>
            <w:r>
              <w:rPr>
                <w:rFonts w:cs="CG Times" w:ascii="CG Times" w:hAnsi="CG Times"/>
              </w:rPr>
              <w:t>Sally</w:t>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tc>
        <w:tc>
          <w:tcPr>
            <w:tcW w:w="308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tc>
      </w:tr>
      <w:tr>
        <w:trPr>
          <w:trHeight w:val="577" w:hRule="atLeast"/>
        </w:trPr>
        <w:tc>
          <w:tcPr>
            <w:tcW w:w="308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CG Times" w:hAnsi="CG Times" w:cs="CG Times"/>
                <w:b/>
              </w:rPr>
            </w:pPr>
            <w:r>
              <w:rPr>
                <w:rFonts w:cs="CG Times" w:ascii="CG Times" w:hAnsi="CG Times"/>
                <w:b/>
              </w:rPr>
            </w:r>
          </w:p>
        </w:tc>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b/>
              </w:rPr>
            </w:pPr>
            <w:r>
              <w:rPr>
                <w:rFonts w:cs="CG Times" w:ascii="CG Times" w:hAnsi="CG Times"/>
                <w:b/>
              </w:rPr>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tc>
        <w:tc>
          <w:tcPr>
            <w:tcW w:w="3084" w:type="dxa"/>
            <w:tcBorders>
              <w:top w:val="single" w:sz="4" w:space="0" w:color="000000"/>
              <w:start w:val="single" w:sz="4" w:space="0" w:color="000000"/>
              <w:bottom w:val="single" w:sz="4" w:space="0" w:color="000000"/>
              <w:end w:val="single" w:sz="4" w:space="0" w:color="000000"/>
            </w:tcBorders>
          </w:tcPr>
          <w:p>
            <w:pPr>
              <w:pStyle w:val="Normal"/>
              <w:snapToGrid w:val="false"/>
              <w:rPr>
                <w:rFonts w:ascii="CG Times" w:hAnsi="CG Times" w:cs="CG Times"/>
              </w:rPr>
            </w:pPr>
            <w:r>
              <w:rPr>
                <w:rFonts w:cs="CG Times" w:ascii="CG Times" w:hAnsi="CG Times"/>
              </w:rPr>
            </w:r>
          </w:p>
        </w:tc>
      </w:tr>
    </w:tbl>
    <w:p>
      <w:pPr>
        <w:pStyle w:val="Normal"/>
        <w:rPr>
          <w:rFonts w:ascii="CG Times" w:hAnsi="CG Times" w:cs="CG Times"/>
        </w:rPr>
      </w:pPr>
      <w:r>
        <w:rPr>
          <w:rFonts w:cs="CG Times" w:ascii="CG Times" w:hAnsi="CG Times"/>
        </w:rPr>
      </w:r>
    </w:p>
    <w:sectPr>
      <w:headerReference w:type="default" r:id="rId2"/>
      <w:headerReference w:type="first" r:id="rId3"/>
      <w:footerReference w:type="default" r:id="rId4"/>
      <w:footerReference w:type="first" r:id="rId5"/>
      <w:type w:val="nextPage"/>
      <w:pgSz w:w="12240" w:h="15840"/>
      <w:pgMar w:left="1440" w:right="1440" w:gutter="0" w:header="720" w:top="1915" w:footer="96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I</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ToolsFileType" w:val="Word9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4"/>
    </w:rPr>
  </w:style>
  <w:style w:type="paragraph" w:styleId="Heading6">
    <w:name w:val="heading 6"/>
    <w:basedOn w:val="Normal"/>
    <w:next w:val="Normal"/>
    <w:qFormat/>
    <w:pPr>
      <w:numPr>
        <w:ilvl w:val="5"/>
        <w:numId w:val="1"/>
      </w:numPr>
      <w:spacing w:before="240" w:after="60"/>
      <w:outlineLvl w:val="5"/>
    </w:pPr>
    <w:rPr>
      <w:i/>
      <w:sz w:val="24"/>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sz w:val="24"/>
    </w:rPr>
  </w:style>
  <w:style w:type="paragraph" w:styleId="Heading9">
    <w:name w:val="heading 9"/>
    <w:basedOn w:val="Normal"/>
    <w:next w:val="Normal"/>
    <w:qFormat/>
    <w:pPr>
      <w:numPr>
        <w:ilvl w:val="8"/>
        <w:numId w:val="1"/>
      </w:numPr>
      <w:spacing w:before="240" w:after="60"/>
      <w:outlineLvl w:val="8"/>
    </w:pPr>
    <w:rPr>
      <w:b/>
      <w:i/>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24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IndentedQuote">
    <w:name w:val="!Indented Quote"/>
    <w:basedOn w:val="Normal"/>
    <w:qFormat/>
    <w:pPr>
      <w:spacing w:before="0" w:after="240"/>
      <w:ind w:hanging="0" w:start="1440" w:end="1440"/>
    </w:pPr>
    <w:rPr/>
  </w:style>
  <w:style w:type="paragraph" w:styleId="ReLine">
    <w:name w:val="!Re Line"/>
    <w:basedOn w:val="Normal"/>
    <w:qFormat/>
    <w:pPr>
      <w:spacing w:before="0" w:after="240"/>
      <w:ind w:hanging="720" w:start="2160" w:end="2160"/>
    </w:pPr>
    <w:rPr/>
  </w:style>
  <w:style w:type="paragraph" w:styleId="SignatureLA">
    <w:name w:val="!Signature(LA)"/>
    <w:basedOn w:val="Normal"/>
    <w:qFormat/>
    <w:pPr>
      <w:keepLines/>
      <w:tabs>
        <w:tab w:val="clear" w:pos="720"/>
        <w:tab w:val="right" w:pos="2880" w:leader="none"/>
      </w:tabs>
      <w:spacing w:before="720" w:after="0"/>
      <w:ind w:hanging="547" w:start="540" w:end="0"/>
    </w:pPr>
    <w:rPr/>
  </w:style>
  <w:style w:type="paragraph" w:styleId="Signature">
    <w:name w:val="!Signature"/>
    <w:basedOn w:val="Normal"/>
    <w:qFormat/>
    <w:pPr>
      <w:keepLines/>
      <w:tabs>
        <w:tab w:val="clear" w:pos="720"/>
        <w:tab w:val="right" w:pos="8640" w:leader="none"/>
      </w:tabs>
      <w:spacing w:before="720" w:after="0"/>
      <w:ind w:hanging="547" w:start="4867" w:end="0"/>
    </w:pPr>
    <w:rPr/>
  </w:style>
  <w:style w:type="paragraph" w:styleId="Title">
    <w:name w:val="!Title"/>
    <w:basedOn w:val="Normal"/>
    <w:qFormat/>
    <w:pPr>
      <w:keepNext w:val="true"/>
      <w:keepLines/>
      <w:spacing w:before="120" w:after="240"/>
      <w:jc w:val="center"/>
    </w:pPr>
    <w:rPr/>
  </w:style>
  <w:style w:type="paragraph" w:styleId="TitleB">
    <w:name w:val="!Title(B)"/>
    <w:basedOn w:val="Title"/>
    <w:qFormat/>
    <w:pPr/>
    <w:rPr>
      <w:b/>
      <w:caps/>
    </w:rPr>
  </w:style>
  <w:style w:type="paragraph" w:styleId="BodyTextFirstIndent">
    <w:name w:val="Body Text First Indent"/>
    <w:basedOn w:val="BodyText"/>
    <w:qFormat/>
    <w:pPr>
      <w:ind w:firstLine="210" w:start="0" w:end="0"/>
    </w:pPr>
    <w:rPr/>
  </w:style>
  <w:style w:type="paragraph" w:styleId="FootnoteText">
    <w:name w:val="footnote text"/>
    <w:basedOn w:val="Normal"/>
    <w:pPr>
      <w:ind w:hanging="720" w:start="720" w:end="0"/>
    </w:pPr>
    <w:rPr/>
  </w:style>
  <w:style w:type="paragraph" w:styleId="PlainText">
    <w:name w:val="Plain Text"/>
    <w:basedOn w:val="Normal"/>
    <w:qFormat/>
    <w:pPr/>
    <w:rPr>
      <w:rFonts w:ascii="Courier New" w:hAnsi="Courier New" w:cs="Courier New"/>
      <w:sz w:val="20"/>
    </w:rPr>
  </w:style>
  <w:style w:type="paragraph" w:styleId="heading11">
    <w:name w:val="heading1"/>
    <w:basedOn w:val="Normal"/>
    <w:qFormat/>
    <w:pPr>
      <w:spacing w:before="0" w:after="360"/>
      <w:jc w:val="center"/>
    </w:pPr>
    <w:rPr>
      <w:b/>
    </w:rPr>
  </w:style>
  <w:style w:type="paragraph" w:styleId="indenttext">
    <w:name w:val="indent text"/>
    <w:basedOn w:val="Normal"/>
    <w:qFormat/>
    <w:pPr>
      <w:spacing w:before="0" w:after="240"/>
      <w:ind w:hanging="0" w:start="1440" w:end="1080"/>
      <w:jc w:val="both"/>
    </w:pPr>
    <w:rPr/>
  </w:style>
  <w:style w:type="paragraph" w:styleId="subheading">
    <w:name w:val="subheading"/>
    <w:basedOn w:val="Normal"/>
    <w:qFormat/>
    <w:pPr>
      <w:keepNext w:val="true"/>
      <w:spacing w:before="0" w:after="240"/>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dnoteText">
    <w:name w:val="endnote text"/>
    <w:basedOn w:val="Normal"/>
    <w:pPr/>
    <w:rPr>
      <w:sz w:val="20"/>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1">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2000-09-13T17:48:00Z</dcterms:created>
  <dc:creator>For Help Call PC Support, x 4277</dc:creator>
  <dc:description/>
  <dc:language>en-CA</dc:language>
  <cp:lastModifiedBy>For Help Call PC Support, x 4277</cp:lastModifiedBy>
  <cp:lastPrinted>2000-09-13T11:25:00Z</cp:lastPrinted>
  <dcterms:modified xsi:type="dcterms:W3CDTF">2000-09-13T17:48:00Z</dcterms:modified>
  <cp:revision>2</cp:revision>
  <dc:subject/>
  <dc:title>Enron North American - September 14 - 15, 2000</dc:title>
</cp:coreProperties>
</file>