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
        <w:rPr/>
      </w:pPr>
      <w:bookmarkStart w:id="0" w:name="_Hlk493387594"/>
      <w:r>
        <w:rPr/>
        <w:t>SULLIVAN &amp; CROMWELL</w:t>
      </w:r>
    </w:p>
    <w:p>
      <w:pPr>
        <w:pStyle w:val="CenteredHeading"/>
        <w:rPr/>
      </w:pPr>
      <w:r>
        <w:rPr/>
        <w:t>Enron North America</w:t>
        <w:br/>
        <w:t>Commodities Trading and Markets</w:t>
        <w:br/>
        <w:t>Compliance Program Presentation</w:t>
        <w:br/>
      </w:r>
      <w:r>
        <w:rPr>
          <w:u w:val="single"/>
        </w:rPr>
        <w:t>September 14-15, 2000</w:t>
      </w:r>
    </w:p>
    <w:p>
      <w:pPr>
        <w:pStyle w:val="Heading1"/>
        <w:ind w:hanging="0" w:start="0"/>
        <w:rPr/>
      </w:pPr>
      <w:r>
        <w:rPr>
          <w:u w:val="single"/>
        </w:rPr>
        <w:t>Overview of Corporate Criminal Sentencing Guidelines</w:t>
      </w:r>
    </w:p>
    <w:p>
      <w:pPr>
        <w:pStyle w:val="Heading2"/>
        <w:ind w:hanging="0" w:start="0"/>
        <w:rPr/>
      </w:pPr>
      <w:r>
        <w:rPr/>
        <w:t>The Federal Criminal Sentencing Guidelines for corporations impose significant criminal penalties for all types of criminal violations.  However, the Guidelines allow those penalties to be substantially mitigated if the company has established sufficient compliance and detection programs before the criminal violation occurs.  The Guidelines set out the features required for an acceptable program:</w:t>
      </w:r>
    </w:p>
    <w:p>
      <w:pPr>
        <w:pStyle w:val="Bullet1"/>
        <w:numPr>
          <w:ilvl w:val="0"/>
          <w:numId w:val="13"/>
        </w:numPr>
        <w:ind w:hanging="0" w:start="0"/>
        <w:rPr/>
      </w:pPr>
      <w:r>
        <w:rPr/>
        <w:t>establishment of compliance standards and procedures that are "reasonably capable" of reducing criminal conduct;</w:t>
      </w:r>
    </w:p>
    <w:p>
      <w:pPr>
        <w:pStyle w:val="Bullet1"/>
        <w:numPr>
          <w:ilvl w:val="0"/>
          <w:numId w:val="13"/>
        </w:numPr>
        <w:ind w:hanging="0" w:start="0"/>
        <w:rPr/>
      </w:pPr>
      <w:r>
        <w:rPr/>
        <w:t>assigning high-level personnel to oversee them;</w:t>
      </w:r>
    </w:p>
    <w:p>
      <w:pPr>
        <w:pStyle w:val="Bullet1"/>
        <w:numPr>
          <w:ilvl w:val="0"/>
          <w:numId w:val="13"/>
        </w:numPr>
        <w:ind w:hanging="0" w:start="0"/>
        <w:rPr/>
      </w:pPr>
      <w:r>
        <w:rPr/>
        <w:t>selection of employees of high character and integrity;</w:t>
      </w:r>
    </w:p>
    <w:p>
      <w:pPr>
        <w:pStyle w:val="Bullet1"/>
        <w:numPr>
          <w:ilvl w:val="0"/>
          <w:numId w:val="13"/>
        </w:numPr>
        <w:ind w:hanging="0" w:start="0"/>
        <w:rPr/>
      </w:pPr>
      <w:r>
        <w:rPr/>
        <w:t>communicating the compliance standards and procedures to all employees;</w:t>
      </w:r>
    </w:p>
    <w:p>
      <w:pPr>
        <w:pStyle w:val="Bullet1"/>
        <w:numPr>
          <w:ilvl w:val="0"/>
          <w:numId w:val="13"/>
        </w:numPr>
        <w:ind w:hanging="0" w:start="0"/>
        <w:rPr/>
      </w:pPr>
      <w:r>
        <w:rPr/>
        <w:t>taking "reasonable steps" to attain compliance by, for example, monitoring and auditing and publicizing a system for employees to report wrongdoing, protecting "whistle blowers";</w:t>
      </w:r>
    </w:p>
    <w:p>
      <w:pPr>
        <w:pStyle w:val="Bullet1"/>
        <w:numPr>
          <w:ilvl w:val="0"/>
          <w:numId w:val="13"/>
        </w:numPr>
        <w:ind w:hanging="0" w:start="0"/>
        <w:rPr/>
      </w:pPr>
      <w:r>
        <w:rPr/>
        <w:t>if wrongdoing is detected, taking "reasonable steps" to stop it; and</w:t>
      </w:r>
    </w:p>
    <w:p>
      <w:pPr>
        <w:pStyle w:val="Bullet1"/>
        <w:numPr>
          <w:ilvl w:val="0"/>
          <w:numId w:val="13"/>
        </w:numPr>
        <w:ind w:hanging="0" w:start="0"/>
        <w:rPr/>
      </w:pPr>
      <w:r>
        <w:rPr/>
        <w:t>disciplining individuals who fail to detect illegal activity and those responsible for an offense.</w:t>
      </w:r>
    </w:p>
    <w:p>
      <w:pPr>
        <w:pStyle w:val="BodyText"/>
        <w:rPr/>
      </w:pPr>
      <w:r>
        <w:rPr>
          <w:u w:val="single"/>
        </w:rPr>
        <w:t>See</w:t>
      </w:r>
      <w:r>
        <w:rPr/>
        <w:t xml:space="preserve"> 56 Fed. Reg. 22,762 (1991).</w:t>
      </w:r>
    </w:p>
    <w:p>
      <w:pPr>
        <w:pStyle w:val="Heading2"/>
        <w:ind w:hanging="0" w:start="0"/>
        <w:rPr/>
      </w:pPr>
      <w:r>
        <w:rPr/>
        <w:t>Penalties</w:t>
      </w:r>
    </w:p>
    <w:p>
      <w:pPr>
        <w:pStyle w:val="BodyText"/>
        <w:rPr/>
      </w:pPr>
      <w:r>
        <w:rPr/>
        <w:t xml:space="preserve">A violation of any provision of the Commodity Exchange Act (CEA) or regulations of the Commodity Futures Trading Commission (CFTC) may be prosecuted as a felony.  Criminal penalties include fines up to a maximum of $1 million (or $500,000 in the case of an individual) or imprisonment for not more than five years, or both, for any violation.  The CFTC can seek monetary penalties in civil court actions (previously they could only seek such penalties in administrative proceedings) of the higher of $110,000 or triple the monetary gain for each violation. </w:t>
      </w:r>
    </w:p>
    <w:p>
      <w:pPr>
        <w:pStyle w:val="BodyText"/>
        <w:rPr/>
      </w:pPr>
      <w:r>
        <w:rPr>
          <w:u w:val="single"/>
        </w:rPr>
        <w:t>See</w:t>
      </w:r>
      <w:r>
        <w:rPr/>
        <w:t xml:space="preserve"> Futures Trading Practices Act, Pub.L.No. 102-546, 106 Stat.3590 (1992).</w:t>
      </w:r>
    </w:p>
    <w:p>
      <w:pPr>
        <w:pStyle w:val="Heading1"/>
        <w:ind w:hanging="0" w:start="0"/>
        <w:rPr/>
      </w:pPr>
      <w:r>
        <w:rPr>
          <w:u w:val="single"/>
        </w:rPr>
        <w:t>Market Manipulation</w:t>
      </w:r>
    </w:p>
    <w:p>
      <w:pPr>
        <w:pStyle w:val="Heading2"/>
        <w:ind w:hanging="0" w:start="0"/>
        <w:rPr/>
      </w:pPr>
      <w:r>
        <w:rPr/>
        <w:t>Antitrust</w:t>
      </w:r>
    </w:p>
    <w:p>
      <w:pPr>
        <w:pStyle w:val="BodyText"/>
        <w:rPr/>
      </w:pPr>
      <w:r>
        <w:rPr/>
        <w:t>The antitrust laws cover a broad range of conduct, falling into two broad categories:</w:t>
      </w:r>
    </w:p>
    <w:p>
      <w:pPr>
        <w:pStyle w:val="Bullet1B"/>
        <w:numPr>
          <w:ilvl w:val="0"/>
          <w:numId w:val="13"/>
        </w:numPr>
        <w:ind w:hanging="0" w:start="0"/>
        <w:rPr/>
      </w:pPr>
      <w:r>
        <w:rPr/>
        <w:t>Concerted Action That Unreasonably Restrains Trade</w:t>
      </w:r>
    </w:p>
    <w:p>
      <w:pPr>
        <w:pStyle w:val="Bullet-"/>
        <w:numPr>
          <w:ilvl w:val="0"/>
          <w:numId w:val="12"/>
        </w:numPr>
        <w:ind w:hanging="0" w:start="0"/>
        <w:rPr/>
      </w:pPr>
      <w:r>
        <w:rPr/>
        <w:t>Agreements to fix or stabilize prices</w:t>
      </w:r>
    </w:p>
    <w:p>
      <w:pPr>
        <w:pStyle w:val="Bullet-"/>
        <w:numPr>
          <w:ilvl w:val="0"/>
          <w:numId w:val="12"/>
        </w:numPr>
        <w:ind w:hanging="0" w:start="0"/>
        <w:rPr/>
      </w:pPr>
      <w:r>
        <w:rPr/>
        <w:t>Agreements to allocate customers or markets to particular competitors</w:t>
      </w:r>
    </w:p>
    <w:p>
      <w:pPr>
        <w:pStyle w:val="Bullet-B"/>
        <w:numPr>
          <w:ilvl w:val="0"/>
          <w:numId w:val="12"/>
        </w:numPr>
        <w:ind w:hanging="0" w:start="0"/>
        <w:rPr/>
      </w:pPr>
      <w:r>
        <w:rPr/>
        <w:t>Agreements to boycott or refuse to deal with a party for anticompetitive reasons</w:t>
      </w:r>
    </w:p>
    <w:p>
      <w:pPr>
        <w:pStyle w:val="BodyText"/>
        <w:rPr/>
      </w:pPr>
      <w:r>
        <w:rPr/>
        <w:t xml:space="preserve">Concerted action is likely to be of particular concern in commodities markets.  An agreement to fix prices or divide markets need not be explicit; conduct by which competitors signal to one another and coordinate prices may be sufficient.   </w:t>
      </w:r>
    </w:p>
    <w:p>
      <w:pPr>
        <w:pStyle w:val="Bullet1B"/>
        <w:numPr>
          <w:ilvl w:val="0"/>
          <w:numId w:val="13"/>
        </w:numPr>
        <w:ind w:hanging="0" w:start="0"/>
        <w:rPr/>
      </w:pPr>
      <w:r>
        <w:rPr/>
        <w:t>Monopolization and Attempted Monopolization</w:t>
      </w:r>
    </w:p>
    <w:p>
      <w:pPr>
        <w:pStyle w:val="Bullet-"/>
        <w:numPr>
          <w:ilvl w:val="0"/>
          <w:numId w:val="12"/>
        </w:numPr>
        <w:ind w:hanging="0" w:start="0"/>
        <w:rPr/>
      </w:pPr>
      <w:r>
        <w:rPr/>
        <w:t>Monopoly power is the ability to control price or exclude competition in any relevant market</w:t>
      </w:r>
    </w:p>
    <w:p>
      <w:pPr>
        <w:pStyle w:val="Bullet-B"/>
        <w:numPr>
          <w:ilvl w:val="0"/>
          <w:numId w:val="12"/>
        </w:numPr>
        <w:ind w:hanging="0" w:start="0"/>
        <w:rPr/>
      </w:pPr>
      <w:r>
        <w:rPr/>
        <w:t xml:space="preserve">Conduct designed to acquire or exploit substantial market power can be found to be an act of monopolization.  </w:t>
      </w:r>
    </w:p>
    <w:p>
      <w:pPr>
        <w:pStyle w:val="BodyText"/>
        <w:rPr/>
      </w:pPr>
      <w:r>
        <w:rPr/>
        <w:t>Many of the same elements of a CEA manipulation violation could constitute a violation of antitrust laws.</w:t>
      </w:r>
    </w:p>
    <w:p>
      <w:pPr>
        <w:pStyle w:val="Heading2"/>
        <w:ind w:hanging="0" w:start="0"/>
        <w:rPr/>
      </w:pPr>
      <w:r>
        <w:rPr/>
        <w:t>CEA Manipulation Claim</w:t>
      </w:r>
    </w:p>
    <w:p>
      <w:pPr>
        <w:pStyle w:val="BodyText"/>
        <w:rPr/>
      </w:pPr>
      <w:r>
        <w:rPr/>
        <w:t>The CFTC's jurisdiction clearly extends not just to manipulation of the futures markets but to manipulation of the cash markets as well.  The CEA standards to establish manipulation have been developed in CFTC case law and require:</w:t>
      </w:r>
    </w:p>
    <w:p>
      <w:pPr>
        <w:pStyle w:val="Bullet1C"/>
        <w:numPr>
          <w:ilvl w:val="0"/>
          <w:numId w:val="13"/>
        </w:numPr>
        <w:ind w:hanging="0" w:start="0"/>
        <w:rPr/>
      </w:pPr>
      <w:r>
        <w:rPr/>
        <w:t>Ability to influence market price</w:t>
      </w:r>
    </w:p>
    <w:p>
      <w:pPr>
        <w:pStyle w:val="Bullet1C"/>
        <w:numPr>
          <w:ilvl w:val="0"/>
          <w:numId w:val="13"/>
        </w:numPr>
        <w:ind w:hanging="0" w:start="0"/>
        <w:rPr/>
      </w:pPr>
      <w:r>
        <w:rPr/>
        <w:t>Artificial prices existed</w:t>
      </w:r>
    </w:p>
    <w:p>
      <w:pPr>
        <w:pStyle w:val="Bullet1C"/>
        <w:numPr>
          <w:ilvl w:val="0"/>
          <w:numId w:val="13"/>
        </w:numPr>
        <w:ind w:hanging="0" w:start="0"/>
        <w:rPr/>
      </w:pPr>
      <w:r>
        <w:rPr/>
        <w:t>Defendant caused artificial prices</w:t>
      </w:r>
    </w:p>
    <w:p>
      <w:pPr>
        <w:pStyle w:val="Bullet1"/>
        <w:numPr>
          <w:ilvl w:val="0"/>
          <w:numId w:val="13"/>
        </w:numPr>
        <w:ind w:hanging="0" w:start="0"/>
        <w:rPr/>
      </w:pPr>
      <w:r>
        <w:rPr/>
        <w:t>Defendant intended to do so</w:t>
      </w:r>
    </w:p>
    <w:p>
      <w:pPr>
        <w:pStyle w:val="BodyText"/>
        <w:rPr/>
      </w:pPr>
      <w:r>
        <w:rPr/>
        <w:t xml:space="preserve">The CFTC often charges attempted manipulation at the same time as it charges manipulation.  A third-party may be charged with aiding and abetting a manipulation or attempted manipulation.  </w:t>
      </w:r>
      <w:r>
        <w:rPr>
          <w:u w:val="single"/>
        </w:rPr>
        <w:t>See</w:t>
      </w:r>
      <w:r>
        <w:rPr/>
        <w:t xml:space="preserve"> Commodity Exchange Act § 5d, 7 U.S.C. § 7(d).  </w:t>
      </w:r>
      <w:r>
        <w:rPr>
          <w:u w:val="single"/>
        </w:rPr>
        <w:t>See also</w:t>
      </w:r>
      <w:r>
        <w:rPr/>
        <w:t xml:space="preserve">, 7 U.S.C. § 7a(4), § 7(c) and § 9; </w:t>
      </w:r>
      <w:r>
        <w:rPr>
          <w:u w:val="single"/>
        </w:rPr>
        <w:t>In re Indiana Farm Bureau Cooperative Association</w:t>
      </w:r>
      <w:r>
        <w:rPr/>
        <w:t>, [1982-1984 Transfer Binder] Comm. Fut. L. Rep. (CCH) ¶21,796  (C.F.T.C.1982).</w:t>
      </w:r>
    </w:p>
    <w:p>
      <w:pPr>
        <w:pStyle w:val="Heading2"/>
        <w:ind w:hanging="0" w:start="0"/>
        <w:rPr/>
      </w:pPr>
      <w:r>
        <w:rPr/>
        <w:t>Examples</w:t>
      </w:r>
    </w:p>
    <w:p>
      <w:pPr>
        <w:pStyle w:val="Heading3"/>
        <w:ind w:hanging="0" w:start="0"/>
        <w:rPr/>
      </w:pPr>
      <w:r>
        <w:rPr/>
        <w:t xml:space="preserve">A civil and criminal case brought in 1996 by the City of New York against Coastal Oil highlights the potential for liability arising from inaccurate and/or selective price reporting.  The price under a contract for Coastal to supply heating oil to the city was set with reference to posted rack prices of several area oil producers, one of which was Coastal.  The city alleged that Coastal posted artificially high prices from one of its terminals, thus raising the price of oil supplied under the contract.  A civil antitrust claim for attempted monopolization was dismissed, but a jury awarded the city $800,000 in damages for breach of contract.  </w:t>
      </w:r>
      <w:r>
        <w:rPr>
          <w:u w:val="single"/>
        </w:rPr>
        <w:t>See</w:t>
      </w:r>
      <w:r>
        <w:rPr/>
        <w:t xml:space="preserve"> </w:t>
      </w:r>
      <w:r>
        <w:rPr>
          <w:u w:val="single"/>
        </w:rPr>
        <w:t>City of New York</w:t>
      </w:r>
      <w:r>
        <w:rPr/>
        <w:t xml:space="preserve"> v. </w:t>
      </w:r>
      <w:r>
        <w:rPr>
          <w:u w:val="single"/>
        </w:rPr>
        <w:t>Coastal Oil New York, Inc.</w:t>
      </w:r>
      <w:r>
        <w:rPr/>
        <w:t xml:space="preserve">, No. 96 Civ. 8667 (RPP), 1999 U.S. Dist. LEXIS 10458 at *9-12 (S.D.N.Y. July 12, 1999); Civil Docket dated February 23, 2000 (announcing jury verdict).  Coastal Oil was found not guilty of the criminal charges.  </w:t>
      </w:r>
      <w:r>
        <w:rPr>
          <w:u w:val="single"/>
        </w:rPr>
        <w:t>See</w:t>
      </w:r>
      <w:r>
        <w:rPr/>
        <w:t xml:space="preserve"> </w:t>
      </w:r>
      <w:r>
        <w:rPr>
          <w:u w:val="single"/>
        </w:rPr>
        <w:t>Not Guilty on Oil Price Scheme</w:t>
      </w:r>
      <w:r>
        <w:rPr/>
        <w:t xml:space="preserve">, Citylaw, March/April 1999.  </w:t>
      </w:r>
    </w:p>
    <w:p>
      <w:pPr>
        <w:pStyle w:val="Heading3"/>
        <w:ind w:hanging="0" w:start="0"/>
        <w:rPr/>
      </w:pPr>
      <w:r>
        <w:rPr/>
        <w:t>Trading on Close</w:t>
      </w:r>
    </w:p>
    <w:p>
      <w:pPr>
        <w:pStyle w:val="BodyText2"/>
        <w:rPr/>
      </w:pPr>
      <w:r>
        <w:rPr/>
        <w:t xml:space="preserve">Trading at or near the close of a futures contract may raise concerns regarding potential manipulation of that contract.  The NYMEX has special concerns with trading on or near the close to affect the  settlement price when the settlement price is being used to price swap or physical trades.  If it appears to a regulator that the trader is attempting to raise or lower the price on a futures contract with the goal of getting a more favorable price on a swap, this may also be seen as manipulative.  As in the </w:t>
      </w:r>
      <w:r>
        <w:rPr>
          <w:u w:val="single"/>
        </w:rPr>
        <w:t>Coastal Oil</w:t>
      </w:r>
      <w:r>
        <w:rPr/>
        <w:t xml:space="preserve"> case cited above, it may appear that the trader is attempting to create an artificial price.  Separately, an exchange could find the trader's activity to be market disruption and subject to sanction.   </w:t>
      </w:r>
    </w:p>
    <w:p>
      <w:pPr>
        <w:pStyle w:val="Heading3"/>
        <w:ind w:hanging="0" w:start="0"/>
        <w:rPr/>
      </w:pPr>
      <w:r>
        <w:rPr/>
        <w:t>Off-market transactions</w:t>
      </w:r>
    </w:p>
    <w:p>
      <w:pPr>
        <w:pStyle w:val="BodyText2"/>
        <w:rPr/>
      </w:pPr>
      <w:r>
        <w:rPr/>
        <w:t xml:space="preserve">Transactions that are otherwise uneconomic may be evidence of an intent to influence price.  An uneconomic act may be characterized as undertaking an unfavorable transaction, or foregoing a beneficial transaction, in the hope of reaping a larger manipulative profit later.  For example, a manipulator attempting to "squeeze" a local market for a particular commodity may purchase supplies of the commodity distant from the market to prevent it from reaching the market.  </w:t>
      </w:r>
      <w:r>
        <w:rPr>
          <w:u w:val="single"/>
        </w:rPr>
        <w:t>See</w:t>
      </w:r>
      <w:r>
        <w:rPr/>
        <w:t xml:space="preserve"> </w:t>
      </w:r>
      <w:r>
        <w:rPr>
          <w:u w:val="single"/>
        </w:rPr>
        <w:t>General Foods Corp.</w:t>
      </w:r>
      <w:r>
        <w:rPr/>
        <w:t xml:space="preserve">, 6 Agric. Dec. 288, 304, 309 (1947), </w:t>
      </w:r>
      <w:r>
        <w:rPr>
          <w:u w:val="single"/>
        </w:rPr>
        <w:t>aff'd</w:t>
      </w:r>
      <w:r>
        <w:rPr/>
        <w:t xml:space="preserve"> </w:t>
      </w:r>
      <w:r>
        <w:rPr>
          <w:u w:val="single"/>
        </w:rPr>
        <w:t>in</w:t>
      </w:r>
      <w:r>
        <w:rPr/>
        <w:t xml:space="preserve"> </w:t>
      </w:r>
      <w:r>
        <w:rPr>
          <w:u w:val="single"/>
        </w:rPr>
        <w:t>part</w:t>
      </w:r>
      <w:r>
        <w:rPr/>
        <w:t xml:space="preserve"> </w:t>
      </w:r>
      <w:r>
        <w:rPr>
          <w:u w:val="single"/>
        </w:rPr>
        <w:t>and</w:t>
      </w:r>
      <w:r>
        <w:rPr/>
        <w:t xml:space="preserve"> </w:t>
      </w:r>
      <w:r>
        <w:rPr>
          <w:u w:val="single"/>
        </w:rPr>
        <w:t>rev'd</w:t>
      </w:r>
      <w:r>
        <w:rPr/>
        <w:t xml:space="preserve"> </w:t>
      </w:r>
      <w:r>
        <w:rPr>
          <w:u w:val="single"/>
        </w:rPr>
        <w:t>in</w:t>
      </w:r>
      <w:r>
        <w:rPr/>
        <w:t xml:space="preserve"> </w:t>
      </w:r>
      <w:r>
        <w:rPr>
          <w:u w:val="single"/>
        </w:rPr>
        <w:t>part</w:t>
      </w:r>
      <w:r>
        <w:rPr/>
        <w:t xml:space="preserve"> </w:t>
      </w:r>
      <w:r>
        <w:rPr>
          <w:u w:val="single"/>
        </w:rPr>
        <w:t>sub</w:t>
      </w:r>
      <w:r>
        <w:rPr/>
        <w:t xml:space="preserve">. </w:t>
      </w:r>
      <w:r>
        <w:rPr>
          <w:u w:val="single"/>
        </w:rPr>
        <w:t>nom</w:t>
      </w:r>
      <w:r>
        <w:rPr/>
        <w:t xml:space="preserve">. </w:t>
      </w:r>
      <w:r>
        <w:rPr>
          <w:u w:val="single"/>
        </w:rPr>
        <w:t>General Foods Corp.</w:t>
      </w:r>
      <w:r>
        <w:rPr/>
        <w:t xml:space="preserve"> v. </w:t>
      </w:r>
      <w:r>
        <w:rPr>
          <w:u w:val="single"/>
        </w:rPr>
        <w:t>Brannan</w:t>
      </w:r>
      <w:r>
        <w:rPr/>
        <w:t xml:space="preserve">, 170 F.2d 220 (7th Cir. 1948).   Conversely, the manipulator may purchase supplies of the commodity and ship them away from the market, even though the manipulator could resell the commodity at a better profit to the market.  For example, in its recently resolved challenge to the BP Amoco/ARCO merger, the FTC alleged that BP Amoco had engaged in strategic sales of Alaska crude oil to Asia at a loss in order to raise the spot price of Alaska crude in the California market.  </w:t>
      </w:r>
      <w:r>
        <w:rPr>
          <w:u w:val="single"/>
        </w:rPr>
        <w:t>See</w:t>
      </w:r>
      <w:r>
        <w:rPr/>
        <w:t xml:space="preserve"> </w:t>
      </w:r>
      <w:r>
        <w:rPr>
          <w:u w:val="single"/>
        </w:rPr>
        <w:t>F.T.C.</w:t>
      </w:r>
      <w:r>
        <w:rPr/>
        <w:t xml:space="preserve"> v. </w:t>
      </w:r>
      <w:r>
        <w:rPr>
          <w:u w:val="single"/>
        </w:rPr>
        <w:t>BP Amoco, plc</w:t>
      </w:r>
      <w:r>
        <w:rPr/>
        <w:t>, File No. 991-0192, Concurring and Dissenting Statement of Chairman Robert Pitofsky and Commissioner Mozelle W. Thompson.</w:t>
      </w:r>
    </w:p>
    <w:p>
      <w:pPr>
        <w:pStyle w:val="Heading1"/>
        <w:ind w:hanging="0" w:start="0"/>
        <w:rPr/>
      </w:pPr>
      <w:r>
        <w:rPr>
          <w:u w:val="single"/>
        </w:rPr>
        <w:t>Other CEA Violations</w:t>
      </w:r>
    </w:p>
    <w:p>
      <w:pPr>
        <w:pStyle w:val="Heading2"/>
        <w:ind w:hanging="0" w:start="0"/>
        <w:rPr/>
      </w:pPr>
      <w:r>
        <w:rPr/>
        <w:t>Fraud</w:t>
      </w:r>
    </w:p>
    <w:p>
      <w:pPr>
        <w:pStyle w:val="BodyText"/>
        <w:rPr/>
      </w:pPr>
      <w:r>
        <w:rPr/>
        <w:t xml:space="preserve">Fraud is at the center of almost every CFTC action.  The elements of a CEA fraud claim are similar to the common law.  In an enforcement action, the CFTC must demonstrate the existence of (1) a material misrepresentation or omission of a material fact (2) made with the intent to induce reliance or with reckless disregard of the likelihood that others would act in reliance.  </w:t>
      </w:r>
      <w:r>
        <w:rPr>
          <w:u w:val="single"/>
        </w:rPr>
        <w:t>In re Slusser</w:t>
      </w:r>
      <w:r>
        <w:rPr/>
        <w:t xml:space="preserve">, [1998-99 Transfer Binder] Comm. Fut. L. Rep. ¶27,701 (C.F.T.C. 1999).  A private plaintiff suing under the CEA has the added obligations of proving damages and reasonable reliance upon the misstatement or omission.  </w:t>
      </w:r>
      <w:r>
        <w:rPr>
          <w:u w:val="single"/>
        </w:rPr>
        <w:t>Puckett</w:t>
      </w:r>
      <w:r>
        <w:rPr/>
        <w:t xml:space="preserve"> v.  </w:t>
      </w:r>
      <w:r>
        <w:rPr>
          <w:u w:val="single"/>
        </w:rPr>
        <w:t>Rufenacht, Bromagen &amp; Hertz, Inc.</w:t>
      </w:r>
      <w:r>
        <w:rPr/>
        <w:t>, 903 F.2d 1014 (5th Cir. 1990).</w:t>
      </w:r>
    </w:p>
    <w:p>
      <w:pPr>
        <w:pStyle w:val="Heading2"/>
        <w:ind w:hanging="0" w:start="0"/>
        <w:rPr/>
      </w:pPr>
      <w:r>
        <w:rPr/>
        <w:t>Aiding and Abetting Fraud</w:t>
      </w:r>
    </w:p>
    <w:p>
      <w:pPr>
        <w:pStyle w:val="BodyText"/>
        <w:rPr/>
      </w:pPr>
      <w:r>
        <w:rPr/>
        <w:t>A third party can be accused of assisting the fraudulent actions of a principal.  The elements of aiding and abetting include:</w:t>
      </w:r>
    </w:p>
    <w:p>
      <w:pPr>
        <w:pStyle w:val="Bullet1C"/>
        <w:numPr>
          <w:ilvl w:val="0"/>
          <w:numId w:val="13"/>
        </w:numPr>
        <w:ind w:hanging="0" w:start="0"/>
        <w:rPr/>
      </w:pPr>
      <w:r>
        <w:rPr/>
        <w:t>Actual knowledge of alleged violations of law</w:t>
      </w:r>
    </w:p>
    <w:p>
      <w:pPr>
        <w:pStyle w:val="Bullet1C"/>
        <w:numPr>
          <w:ilvl w:val="0"/>
          <w:numId w:val="13"/>
        </w:numPr>
        <w:ind w:hanging="0" w:start="0"/>
        <w:rPr/>
      </w:pPr>
      <w:r>
        <w:rPr/>
        <w:t>Shared unlawful intent</w:t>
      </w:r>
    </w:p>
    <w:p>
      <w:pPr>
        <w:pStyle w:val="Bullet1"/>
        <w:numPr>
          <w:ilvl w:val="0"/>
          <w:numId w:val="13"/>
        </w:numPr>
        <w:ind w:hanging="0" w:start="0"/>
        <w:rPr/>
      </w:pPr>
      <w:r>
        <w:rPr/>
        <w:t>"Substantial assistance" in committing the violations</w:t>
      </w:r>
    </w:p>
    <w:p>
      <w:pPr>
        <w:pStyle w:val="BodyText"/>
        <w:rPr/>
      </w:pPr>
      <w:r>
        <w:rPr>
          <w:u w:val="single"/>
        </w:rPr>
        <w:t>Benfield</w:t>
      </w:r>
      <w:r>
        <w:rPr/>
        <w:t xml:space="preserve"> v. </w:t>
      </w:r>
      <w:r>
        <w:rPr>
          <w:u w:val="single"/>
        </w:rPr>
        <w:t>Mocatta Metals Corp.</w:t>
      </w:r>
      <w:r>
        <w:rPr/>
        <w:t xml:space="preserve">, [1992-1994 Transfer Binder] Comm. Fut. L. Rep. (CCH) ¶ 25,255 (S.D.N.Y. 1992), </w:t>
      </w:r>
      <w:r>
        <w:rPr>
          <w:u w:val="single"/>
        </w:rPr>
        <w:t>aff'd in part</w:t>
      </w:r>
      <w:r>
        <w:rPr/>
        <w:t xml:space="preserve">, </w:t>
      </w:r>
      <w:r>
        <w:rPr>
          <w:u w:val="single"/>
        </w:rPr>
        <w:t>rev'd in part</w:t>
      </w:r>
      <w:r>
        <w:rPr/>
        <w:t>, 26 F.3d 19 (2d Cir. 1994).</w:t>
      </w:r>
    </w:p>
    <w:p>
      <w:pPr>
        <w:pStyle w:val="Heading2"/>
        <w:ind w:hanging="0" w:start="0"/>
        <w:rPr/>
      </w:pPr>
      <w:r>
        <w:rPr/>
        <w:t>Prearranged Trading</w:t>
      </w:r>
    </w:p>
    <w:p>
      <w:pPr>
        <w:pStyle w:val="BodyText"/>
        <w:rPr/>
      </w:pPr>
      <w:r>
        <w:rPr/>
        <w:t xml:space="preserve">Any discussions off of the floor of a futures exchange with a counterparty that could be construed to be an express or an implied agreement to execute a futures trade may be prohibited prearranged trading.  Even preliminary discussions about quantity or price may be prohibited.  Such discussions are not cleansed by open-outcry execution of the trade in the futures pit.  Special care must be taken when counterparties to a swap or physical trade have a need to enter the futures market to hedge or unwind their respective positions.  </w:t>
      </w:r>
      <w:r>
        <w:rPr>
          <w:u w:val="single"/>
        </w:rPr>
        <w:t>See</w:t>
      </w:r>
      <w:r>
        <w:rPr/>
        <w:t xml:space="preserve"> Commodity Exchange Act § 4c, 7 U.S.C. 6c; </w:t>
      </w:r>
      <w:r>
        <w:rPr>
          <w:u w:val="single"/>
        </w:rPr>
        <w:t>In re Bear Stearns &amp; Co.</w:t>
      </w:r>
      <w:r>
        <w:rPr/>
        <w:t>, [1984-1986 Transfer Binder] Comm.  Fut.  L.  Rep. (CCH) ¶ 22,383 (C.F.T.C. 1984).</w:t>
      </w:r>
    </w:p>
    <w:p>
      <w:pPr>
        <w:pStyle w:val="Heading2"/>
        <w:ind w:hanging="0" w:start="0"/>
        <w:rPr/>
      </w:pPr>
      <w:r>
        <w:rPr/>
        <w:t>Wash Trading</w:t>
      </w:r>
    </w:p>
    <w:p>
      <w:pPr>
        <w:pStyle w:val="BodyText"/>
        <w:rPr/>
      </w:pPr>
      <w:r>
        <w:rPr/>
        <w:t xml:space="preserve">Any pair of trades entered into with the intent to reduce or eliminate market risk and without the intent to establish a bona fide market position may be illegal wash trades.  Thus, a purchase and sale entered simultaneously or nearly simultaneously with instructions to execute at or near the same price could be a wash sale.  A proper purpose for the trade is not a defense to a wash sale charge.  </w:t>
      </w:r>
      <w:r>
        <w:rPr>
          <w:u w:val="single"/>
        </w:rPr>
        <w:t>See</w:t>
      </w:r>
      <w:r>
        <w:rPr/>
        <w:t xml:space="preserve"> Commodity Exchange Act § 4c, 7 U.S.C. § 6c; </w:t>
      </w:r>
      <w:r>
        <w:rPr>
          <w:u w:val="single"/>
        </w:rPr>
        <w:t>In re Elliot</w:t>
      </w:r>
      <w:r>
        <w:rPr/>
        <w:t xml:space="preserve">, [1996-1998 Transfer Binder] Comm. Fut. L. Rep. (CCH) ¶ 27,243 (C.F.T.C. 1998); </w:t>
      </w:r>
      <w:r>
        <w:rPr>
          <w:u w:val="single"/>
        </w:rPr>
        <w:t>In re Three Eight Corp.</w:t>
      </w:r>
      <w:r>
        <w:rPr/>
        <w:t>, [1992-1994 Transfer Binder] Comm. Fut. L. Rep. (CCH) ¶25,749 (C.F.T.C. 1994).</w:t>
      </w:r>
    </w:p>
    <w:p>
      <w:pPr>
        <w:pStyle w:val="Heading2"/>
        <w:ind w:hanging="0" w:start="0"/>
        <w:rPr/>
      </w:pPr>
      <w:r>
        <w:rPr/>
        <w:t>Disclosure of a Customer Order</w:t>
      </w:r>
    </w:p>
    <w:p>
      <w:pPr>
        <w:pStyle w:val="BodyText"/>
        <w:rPr/>
      </w:pPr>
      <w:r>
        <w:rPr/>
        <w:t xml:space="preserve">It is unlawful for a broker to disclose a customer order, without the customer's consent, before that order has been exposed by open outcry in the exchange pit.  A broker's solicitation of a counterparty to a futures trade before that trade has been entered is unlawful and may also support a charge of prearranged trading.  Offering information about customer stops or limit orders is also a violation.  Receipt and reliance on such information has never been charged as a violation of the CEA but may expose the recipient to scrutiny and should be avoided.  Solicitation of such information could be the basis of a charge.   </w:t>
      </w:r>
      <w:r>
        <w:rPr>
          <w:u w:val="single"/>
        </w:rPr>
        <w:t>See</w:t>
      </w:r>
      <w:r>
        <w:rPr/>
        <w:t xml:space="preserve"> 17 C.F.R. § 155.2(d); </w:t>
      </w:r>
      <w:r>
        <w:rPr>
          <w:u w:val="single"/>
        </w:rPr>
        <w:t>United States</w:t>
      </w:r>
      <w:r>
        <w:rPr/>
        <w:t xml:space="preserve"> v.  </w:t>
      </w:r>
      <w:r>
        <w:rPr>
          <w:u w:val="single"/>
        </w:rPr>
        <w:t>Winograd</w:t>
      </w:r>
      <w:r>
        <w:rPr/>
        <w:t>, 656 F.2d 279 (7th Cir. 1981).</w:t>
      </w:r>
    </w:p>
    <w:p>
      <w:pPr>
        <w:pStyle w:val="Heading2"/>
        <w:ind w:hanging="0" w:start="0"/>
        <w:rPr/>
      </w:pPr>
      <w:r>
        <w:rPr/>
        <w:t>Insider Trading</w:t>
      </w:r>
    </w:p>
    <w:p>
      <w:pPr>
        <w:pStyle w:val="BodyText"/>
        <w:rPr/>
      </w:pPr>
      <w:r>
        <w:rPr/>
        <w:t xml:space="preserve">The CFTC prohibits insider trading by exchange board and committee members and exchange employees.  Such persons and their tippees who trade based on material non-public information obtained from the exchange can be charged civilly (by the CFTC) and criminally.  </w:t>
      </w:r>
      <w:r>
        <w:rPr>
          <w:u w:val="single"/>
        </w:rPr>
        <w:t>See</w:t>
      </w:r>
      <w:r>
        <w:rPr/>
        <w:t xml:space="preserve"> 58 Fed.  Reg.  54,966 (1993).  While there is no other express insider prohibition in the CEA, the CFTC has also charged individual employees or agents who were responsible for placing large futures orders on behalf of their employer or principal.  The individuals traded futures for their own account ahead of their employer or principal based on that information.  The cases, relying on the CFTC's antifraud statute, address breach of fiduciary duty and other issues that have been the focus of securities law insider trading cases.  </w:t>
      </w:r>
      <w:r>
        <w:rPr>
          <w:u w:val="single"/>
        </w:rPr>
        <w:t>See</w:t>
      </w:r>
      <w:r>
        <w:rPr/>
        <w:t xml:space="preserve"> </w:t>
      </w:r>
      <w:r>
        <w:rPr>
          <w:u w:val="single"/>
        </w:rPr>
        <w:t>In re Sitzmann</w:t>
      </w:r>
      <w:r>
        <w:rPr/>
        <w:t>, CFTC Docket No. 96-5 (February 26, 1997).</w:t>
      </w:r>
    </w:p>
    <w:p>
      <w:pPr>
        <w:pStyle w:val="Heading1"/>
        <w:ind w:hanging="0" w:start="0"/>
        <w:rPr/>
      </w:pPr>
      <w:r>
        <w:rPr>
          <w:u w:val="single"/>
        </w:rPr>
        <w:t>Marketing Issues</w:t>
      </w:r>
    </w:p>
    <w:p>
      <w:pPr>
        <w:pStyle w:val="Heading2"/>
        <w:ind w:hanging="0" w:start="0"/>
        <w:rPr/>
      </w:pPr>
      <w:r>
        <w:rPr/>
        <w:t xml:space="preserve">Sales Practice </w:t>
      </w:r>
    </w:p>
    <w:p>
      <w:pPr>
        <w:pStyle w:val="BodyText"/>
        <w:rPr/>
      </w:pPr>
      <w:r>
        <w:rPr/>
        <w:t xml:space="preserve">Legal actions have raised questions about appropriate counterparties and transactions.  Sales practice standards for physical and derivative products are evolving.  Duties to assure that the counterparty has the capability to understand and is given sufficient information to understand the transaction and its risks are being established in the case law.  Legends and generic risk disclosures are being used.  Particular attention is being paid to advertising standards and marketing materials.  </w:t>
      </w:r>
      <w:r>
        <w:rPr>
          <w:u w:val="single"/>
        </w:rPr>
        <w:t>See</w:t>
      </w:r>
      <w:r>
        <w:rPr/>
        <w:t xml:space="preserve"> </w:t>
      </w:r>
      <w:r>
        <w:rPr>
          <w:u w:val="single"/>
        </w:rPr>
        <w:t>Procter &amp; Gamble Co.</w:t>
      </w:r>
      <w:r>
        <w:rPr/>
        <w:t xml:space="preserve">  v. </w:t>
      </w:r>
      <w:r>
        <w:rPr>
          <w:u w:val="single"/>
        </w:rPr>
        <w:t>Bankers Trust Co.</w:t>
      </w:r>
      <w:r>
        <w:rPr/>
        <w:t>, 925 F.Supp. 1270 (S.D. Ohio 1996).</w:t>
      </w:r>
    </w:p>
    <w:p>
      <w:pPr>
        <w:pStyle w:val="Heading2"/>
        <w:ind w:hanging="0" w:start="0"/>
        <w:rPr/>
      </w:pPr>
      <w:r>
        <w:rPr/>
        <w:t>Advice</w:t>
      </w:r>
    </w:p>
    <w:p>
      <w:pPr>
        <w:pStyle w:val="BodyText"/>
        <w:rPr/>
      </w:pPr>
      <w:r>
        <w:rPr/>
        <w:t xml:space="preserve">A key concern in the offer and sales of physical and derivative products is to avoid the establishment of a fiduciary relationship with the counterparty/customer.  In this respect, disclaimers in agreements are often used.  However, providing advice in connection with a transaction may expose a party to being deemed a fiduciary.  Counterparty/customers who lack sophistication and rely on the seller for structuring transactions may expose the seller to certain duties.  If the seller's advice relates to futures or certain OTC options, the seller may be required to register with the CFTC as a commodity trading advisor.  </w:t>
      </w:r>
    </w:p>
    <w:p>
      <w:pPr>
        <w:pStyle w:val="Heading2"/>
        <w:ind w:hanging="0" w:start="0"/>
        <w:rPr/>
      </w:pPr>
      <w:r>
        <w:rPr/>
        <w:t>Authority and capacity</w:t>
      </w:r>
    </w:p>
    <w:p>
      <w:pPr>
        <w:pStyle w:val="BodyText"/>
        <w:rPr/>
      </w:pPr>
      <w:r>
        <w:rPr/>
        <w:t xml:space="preserve">Municipalities and others' losses in derivatives transactions have raised questions about the capacity of these entities to enter into such transactions.  There is also a related question of whether the individual who confirms the transaction is authorized to act on behalf of the entity.  In the absence of proper capacity or authority, a court may determine that a transaction was </w:t>
      </w:r>
      <w:r>
        <w:rPr>
          <w:u w:val="single"/>
        </w:rPr>
        <w:t>ultra vires</w:t>
      </w:r>
      <w:r>
        <w:rPr/>
        <w:t xml:space="preserve"> and thus void. Accordingly, both issues must be carefully analyzed before entering into transactions, particularly with public or fiduciary entities (</w:t>
      </w:r>
      <w:r>
        <w:rPr>
          <w:u w:val="single"/>
        </w:rPr>
        <w:t>e.g.</w:t>
      </w:r>
      <w:r>
        <w:rPr/>
        <w:t xml:space="preserve">, state or local governmental agencies, regulated utilities, pension funds, mutual funds and insurance companies).  </w:t>
      </w:r>
      <w:r>
        <w:rPr>
          <w:u w:val="single"/>
        </w:rPr>
        <w:t>See</w:t>
      </w:r>
      <w:r>
        <w:rPr/>
        <w:t xml:space="preserve"> </w:t>
      </w:r>
      <w:r>
        <w:rPr>
          <w:u w:val="single"/>
        </w:rPr>
        <w:t>In re County of Orange</w:t>
      </w:r>
      <w:r>
        <w:rPr/>
        <w:t>, 31 F. Supp.2d 768 (C.D. Cal.  Dec.  16, 1998)</w:t>
      </w:r>
    </w:p>
    <w:p>
      <w:pPr>
        <w:pStyle w:val="Heading2"/>
        <w:ind w:hanging="0" w:start="0"/>
        <w:rPr/>
      </w:pPr>
      <w:r>
        <w:rPr/>
        <w:t>Internal controls</w:t>
      </w:r>
    </w:p>
    <w:p>
      <w:pPr>
        <w:pStyle w:val="BodyText"/>
        <w:rPr/>
      </w:pPr>
      <w:r>
        <w:rPr/>
        <w:t>Recent years have seen a number of examples of "rogue traders" permitted to engage in their conduct by lax documentation, deal entry and internal control procedures.  Usually, the "rogue trader" cannot engage in the activity without the support of third-parties, which raise issues of aiding and abetting addressed above.</w:t>
      </w:r>
    </w:p>
    <w:p>
      <w:pPr>
        <w:pStyle w:val="Heading1"/>
        <w:ind w:hanging="0" w:start="0"/>
        <w:rPr/>
      </w:pPr>
      <w:r>
        <w:rPr>
          <w:u w:val="single"/>
        </w:rPr>
        <w:t>Off-Exchange Forwards/Swaps</w:t>
      </w:r>
    </w:p>
    <w:p>
      <w:pPr>
        <w:pStyle w:val="Heading2"/>
        <w:ind w:hanging="0" w:start="0"/>
        <w:rPr/>
      </w:pPr>
      <w:r>
        <w:rPr/>
        <w:t>Energy Exemption</w:t>
      </w:r>
    </w:p>
    <w:p>
      <w:pPr>
        <w:pStyle w:val="BodyText"/>
        <w:rPr/>
      </w:pPr>
      <w:r>
        <w:rPr/>
        <w:t xml:space="preserve">The CEA prohibits the trading of futures contracts off of an exchange (criminal and civil violation).  Equally, a counterparty can attempt to avoid a contract by arguing that it is an illegal futures contract.  A number of energy companies obtained a CFTC exemption in 1993 (pursuant to statutory authority the CFTC received in 1992) from virtually all of the requirements of the CEA for physical and forward energy transactions that meet the exemption's definition.  Care must be taken to assure that the terms of the exemption are met, as the CFTC and private litigants are free to challenge a transaction outside the exemption as an illegal futures transaction.  </w:t>
      </w:r>
      <w:r>
        <w:rPr>
          <w:u w:val="single"/>
        </w:rPr>
        <w:t>See</w:t>
      </w:r>
      <w:r>
        <w:rPr/>
        <w:t xml:space="preserve"> 58 Fed.  Reg. 21,286 (1993).</w:t>
      </w:r>
    </w:p>
    <w:p>
      <w:pPr>
        <w:pStyle w:val="Heading2"/>
        <w:ind w:hanging="0" w:start="0"/>
        <w:rPr/>
      </w:pPr>
      <w:r>
        <w:rPr/>
        <w:t>Swaps Transactions</w:t>
      </w:r>
    </w:p>
    <w:p>
      <w:pPr>
        <w:pStyle w:val="BodyText"/>
        <w:rPr/>
      </w:pPr>
      <w:r>
        <w:rPr/>
        <w:t>A similar exemption was obtained in 1993 for swap agreements, as that term is defined in the CFTC's rules.  Again, care must be taken to assure that the transaction meets the swap definition and is entered into with an eligible swap participant pursuant to the terms of the exemption.  In contrast to the energy exemptions, the CFTC retained anti-fraud jurisdiction over swaps transactions.  These anti-fraud standards that the CFTC has retained generally apply where there is a customer/dealer relationship.  Under such standards, the dealer has an affirmative duty to disclose all material facts (including risks) to its customer.  Whether this applies to swap transactions remains untested.  The CFTC, recognizing this possible problem, has proposed consideration of a stand-alone anti-fraud rule for swaps.</w:t>
      </w:r>
    </w:p>
    <w:p>
      <w:pPr>
        <w:pStyle w:val="Heading2"/>
        <w:ind w:hanging="0" w:start="0"/>
        <w:rPr/>
      </w:pPr>
      <w:r>
        <w:rPr/>
        <w:t>New Developments</w:t>
      </w:r>
    </w:p>
    <w:p>
      <w:pPr>
        <w:pStyle w:val="BodyText"/>
        <w:rPr/>
      </w:pPr>
      <w:r>
        <w:rPr/>
        <w:t>In June 2000, the CFTC published a proposed rulemaking entitled, "A New Regulatory Framework for Multilateral Transaction Execution Facilities, Intermediaries and Clearing Organizations", which provides a plan for broad-based deregulation and reform of exchange trading of futures.  Part of the release addresses a regulatory scheme for electronic trading of derivatives, including energy derivatives.  Final rules are expected in late September.   At the same time, both the House and Senate are considering proposed legislation to reauthorize the CFTC which will address regulatory relief and legal certainty for derivatives.</w:t>
      </w:r>
    </w:p>
    <w:p>
      <w:pPr>
        <w:pStyle w:val="Heading1"/>
        <w:ind w:hanging="0" w:start="0"/>
        <w:rPr/>
      </w:pPr>
      <w:r>
        <w:rPr>
          <w:u w:val="single"/>
        </w:rPr>
        <w:t>Exchange Issues</w:t>
      </w:r>
    </w:p>
    <w:p>
      <w:pPr>
        <w:pStyle w:val="Heading2"/>
        <w:ind w:hanging="0" w:start="0"/>
        <w:rPr/>
      </w:pPr>
      <w:r>
        <w:rPr/>
        <w:t>Reporting</w:t>
      </w:r>
    </w:p>
    <w:p>
      <w:pPr>
        <w:pStyle w:val="BodyText"/>
        <w:rPr/>
      </w:pPr>
      <w:r>
        <w:rPr/>
        <w:t xml:space="preserve">Compliance with exchange reporting requirements and responding to exchange inquiries must be strictly enforced.  Violations of these obligations may be used as evidence to support allegations of violations of other CEA prohibitions.  </w:t>
      </w:r>
    </w:p>
    <w:p>
      <w:pPr>
        <w:pStyle w:val="Heading2"/>
        <w:ind w:hanging="0" w:start="0"/>
        <w:rPr/>
      </w:pPr>
      <w:r>
        <w:rPr/>
        <w:t>Trading</w:t>
      </w:r>
    </w:p>
    <w:p>
      <w:pPr>
        <w:pStyle w:val="BodyText"/>
        <w:rPr/>
      </w:pPr>
      <w:r>
        <w:rPr/>
        <w:t xml:space="preserve">Guidelines for handling EFPs and EFP documentation requirements must be understood.  Reducing exchange positions approaching contract expirations and observing position limits also is essential to avoid exchange and CFTC scrutiny. </w:t>
      </w:r>
    </w:p>
    <w:p>
      <w:pPr>
        <w:pStyle w:val="Heading2"/>
        <w:ind w:hanging="0" w:start="0"/>
        <w:rPr/>
      </w:pPr>
      <w:r>
        <w:rPr/>
        <w:t>Delivery Requirements</w:t>
      </w:r>
    </w:p>
    <w:p>
      <w:pPr>
        <w:pStyle w:val="BodyText"/>
        <w:rPr/>
      </w:pPr>
      <w:r>
        <w:rPr/>
        <w:t>Exchange delivery requirements must be understood and followed.  A party must not default on, be delinquent in or otherwise fail to comply with the delivery requirements for any futures contract.</w:t>
      </w:r>
    </w:p>
    <w:p>
      <w:pPr>
        <w:pStyle w:val="Heading1"/>
        <w:ind w:hanging="0" w:start="0"/>
        <w:rPr/>
      </w:pPr>
      <w:r>
        <w:rPr>
          <w:u w:val="single"/>
        </w:rPr>
        <w:t>Document Retention Policy</w:t>
      </w:r>
    </w:p>
    <w:p>
      <w:pPr>
        <w:pStyle w:val="BodyText"/>
        <w:rPr/>
      </w:pPr>
      <w:bookmarkStart w:id="1" w:name="_Hlk493387594"/>
      <w:r>
        <w:rPr/>
        <w:t xml:space="preserve">Legal requirements and industry standards address policies for creating and retaining documentation, including taped telephone lines and e-mail policies and protocols.  Sensitivity on what to include on taped lines and e-mail is important for all traders and market participants.  </w:t>
      </w:r>
      <w:bookmarkEnd w:id="1"/>
    </w:p>
    <w:p>
      <w:pPr>
        <w:pStyle w:val="Normal"/>
        <w:rPr/>
      </w:pPr>
      <w:r>
        <w:rPr/>
      </w:r>
    </w:p>
    <w:sectPr>
      <w:footerReference w:type="default" r:id="rId2"/>
      <w:footerReference w:type="first" r:id="rId3"/>
      <w:type w:val="nextPage"/>
      <w:pgSz w:w="12240" w:h="15840"/>
      <w:pgMar w:left="1440" w:right="1440" w:gutter="0" w:header="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Roman"/>
      <w:lvlText w:val="(%4)"/>
      <w:lvlJc w:val="start"/>
      <w:pPr>
        <w:tabs>
          <w:tab w:val="num" w:pos="2160"/>
        </w:tabs>
        <w:ind w:start="720" w:firstLine="720"/>
      </w:pPr>
    </w:lvl>
    <w:lvl w:ilvl="4">
      <w:start w:val="1"/>
      <w:pStyle w:val="Heading5"/>
      <w:numFmt w:val="decimal"/>
      <w:lvlText w:val="(%5)"/>
      <w:lvlJc w:val="start"/>
      <w:pPr>
        <w:tabs>
          <w:tab w:val="num" w:pos="2520"/>
        </w:tabs>
        <w:ind w:start="1440" w:firstLine="720"/>
      </w:pPr>
    </w:lvl>
    <w:lvl w:ilvl="5">
      <w:start w:val="1"/>
      <w:pStyle w:val="Heading6"/>
      <w:numFmt w:val="upperLetter"/>
      <w:lvlText w:val="(%6)"/>
      <w:lvlJc w:val="start"/>
      <w:pPr>
        <w:tabs>
          <w:tab w:val="num" w:pos="2880"/>
        </w:tabs>
        <w:ind w:start="2160" w:firstLine="360"/>
      </w:pPr>
    </w:lvl>
    <w:lvl w:ilvl="6">
      <w:start w:val="1"/>
      <w:pStyle w:val="Heading7"/>
      <w:numFmt w:val="decimal"/>
      <w:lvlText w:val="%7."/>
      <w:lvlJc w:val="start"/>
      <w:pPr>
        <w:tabs>
          <w:tab w:val="num" w:pos="2520"/>
        </w:tabs>
        <w:ind w:start="2520" w:hanging="360"/>
      </w:pPr>
    </w:lvl>
    <w:lvl w:ilvl="7">
      <w:start w:val="1"/>
      <w:pStyle w:val="Heading8"/>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880"/>
        </w:tabs>
        <w:ind w:start="2880" w:hanging="720"/>
      </w:pPr>
      <w:rPr>
        <w:rFonts w:ascii="Times New Roman" w:hAnsi="Times New Roman" w:cs="Times New Roman" w:hint="default"/>
      </w:rPr>
    </w:lvl>
  </w:abstractNum>
  <w:abstractNum w:abstractNumId="13">
    <w:lvl w:ilvl="0">
      <w:start w:val="1"/>
      <w:numFmt w:val="bullet"/>
      <w:lvlText w:val=""/>
      <w:lvlJc w:val="start"/>
      <w:pPr>
        <w:tabs>
          <w:tab w:val="num" w:pos="2160"/>
        </w:tabs>
        <w:ind w:start="2160" w:hanging="72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style>
  <w:style w:type="paragraph" w:styleId="Heading2">
    <w:name w:val="heading 2"/>
    <w:basedOn w:val="Normal"/>
    <w:next w:val="Normal"/>
    <w:qFormat/>
    <w:pPr>
      <w:keepNext w:val="true"/>
      <w:numPr>
        <w:ilvl w:val="1"/>
        <w:numId w:val="1"/>
      </w:numPr>
      <w:spacing w:before="0" w:after="240"/>
      <w:jc w:val="both"/>
      <w:outlineLvl w:val="1"/>
    </w:pPr>
    <w:rPr/>
  </w:style>
  <w:style w:type="paragraph" w:styleId="Heading3">
    <w:name w:val="heading 3"/>
    <w:basedOn w:val="Normal"/>
    <w:next w:val="Normal"/>
    <w:qFormat/>
    <w:pPr>
      <w:numPr>
        <w:ilvl w:val="2"/>
        <w:numId w:val="1"/>
      </w:numPr>
      <w:spacing w:before="0" w:after="240"/>
      <w:outlineLvl w:val="2"/>
    </w:pPr>
    <w:rPr>
      <w:sz w:val="24"/>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z w:val="24"/>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3z0">
    <w:name w:val="WW8Num13z0"/>
    <w:qFormat/>
    <w:rPr>
      <w:rFonts w:ascii="Symbol" w:hAnsi="Symbol" w:cs="Symbol"/>
      <w:color w:val="aut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ind w:hanging="0" w:start="144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1440" w:end="0"/>
    </w:pPr>
    <w:rPr/>
  </w:style>
  <w:style w:type="paragraph" w:styleId="FootnoteText">
    <w:name w:val="footnote text"/>
    <w:basedOn w:val="Normal"/>
    <w:pPr>
      <w:ind w:hanging="720" w:start="72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2160" w:end="0"/>
      <w:jc w:val="both"/>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1">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enteredHeading">
    <w:name w:val="Centered Heading"/>
    <w:basedOn w:val="Normal"/>
    <w:qFormat/>
    <w:pPr>
      <w:spacing w:before="0" w:after="480"/>
      <w:jc w:val="center"/>
    </w:pPr>
    <w:rPr>
      <w:b/>
    </w:rPr>
  </w:style>
  <w:style w:type="paragraph" w:styleId="Bullet1">
    <w:name w:val="Bullet 1"/>
    <w:basedOn w:val="Normal"/>
    <w:qFormat/>
    <w:pPr>
      <w:numPr>
        <w:ilvl w:val="0"/>
        <w:numId w:val="13"/>
      </w:numPr>
      <w:spacing w:before="0" w:after="240"/>
      <w:jc w:val="both"/>
    </w:pPr>
    <w:rPr/>
  </w:style>
  <w:style w:type="paragraph" w:styleId="Bullet11">
    <w:name w:val="Bulle t1"/>
    <w:basedOn w:val="Normal"/>
    <w:qFormat/>
    <w:pPr/>
    <w:rPr/>
  </w:style>
  <w:style w:type="paragraph" w:styleId="Bullet2">
    <w:name w:val="Bullet 2"/>
    <w:basedOn w:val="Normal"/>
    <w:qFormat/>
    <w:pPr/>
    <w:rPr/>
  </w:style>
  <w:style w:type="paragraph" w:styleId="Bullet-">
    <w:name w:val="Bullet -"/>
    <w:basedOn w:val="Normal"/>
    <w:qFormat/>
    <w:pPr>
      <w:numPr>
        <w:ilvl w:val="0"/>
        <w:numId w:val="12"/>
      </w:numPr>
    </w:pPr>
    <w:rPr/>
  </w:style>
  <w:style w:type="paragraph" w:styleId="Bullet1B">
    <w:name w:val="Bullet 1B"/>
    <w:basedOn w:val="Bullet1"/>
    <w:qFormat/>
    <w:pPr>
      <w:spacing w:before="0" w:after="0"/>
    </w:pPr>
    <w:rPr>
      <w:u w:val="single"/>
    </w:rPr>
  </w:style>
  <w:style w:type="paragraph" w:styleId="Bullet-B">
    <w:name w:val="Bullet -B"/>
    <w:basedOn w:val="Bullet-"/>
    <w:qFormat/>
    <w:pPr>
      <w:spacing w:before="0" w:after="240"/>
    </w:pPr>
    <w:rPr/>
  </w:style>
  <w:style w:type="paragraph" w:styleId="Bullet1C">
    <w:name w:val="Bullet 1C"/>
    <w:basedOn w:val="Bullet1"/>
    <w:qFormat/>
    <w:pPr>
      <w:spacing w:before="0" w:after="0"/>
    </w:pPr>
    <w:rPr/>
  </w:style>
  <w:style w:type="paragraph" w:styleId="SC">
    <w:name w:val="S&amp;C"/>
    <w:basedOn w:val="Normal"/>
    <w:qFormat/>
    <w:pPr>
      <w:spacing w:before="0" w:after="480"/>
    </w:pPr>
    <w:rPr>
      <w:sz w:val="3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2000-09-12T12:58:00Z</dcterms:created>
  <dc:creator>For Help Call PC Support, x 4277</dc:creator>
  <dc:description/>
  <dc:language>en-CA</dc:language>
  <cp:lastModifiedBy>For Help Call PC Support, x 4277</cp:lastModifiedBy>
  <cp:lastPrinted>2000-09-12T11:25:00Z</cp:lastPrinted>
  <dcterms:modified xsi:type="dcterms:W3CDTF">2000-09-12T12:58:00Z</dcterms:modified>
  <cp:revision>2</cp:revision>
  <dc:subject/>
  <dc:title>SULLIVAN &amp; CROMWELL</dc:title>
</cp:coreProperties>
</file>