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08"/>
        <w:rPr/>
      </w:pPr>
      <w:r>
        <w:rPr/>
      </w:r>
    </w:p>
    <w:p>
      <w:pPr>
        <w:pStyle w:val="Normal"/>
        <w:jc w:val="center"/>
        <w:rPr/>
      </w:pPr>
      <w:r>
        <w:rPr/>
        <w:object w:dxaOrig="1920" w:dyaOrig="190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6pt;height:95.2pt" filled="f" o:ole="">
            <v:imagedata r:id="rId3" o:title=""/>
          </v:shape>
          <o:OLEObject Type="Embed" ProgID="" ShapeID="ole_rId2" DrawAspect="Content" ObjectID="_1967040688" r:id="rId2"/>
        </w:object>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t xml:space="preserve">Comments on Issues Related to Form of the Power Purchase Arrangements </w:t>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t xml:space="preserve">Enron Capital &amp; Trade Resources Canada Corp.  </w:t>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u w:val="single"/>
        </w:rPr>
      </w:pPr>
      <w:r>
        <w:rPr>
          <w:b/>
          <w:bCs/>
          <w:sz w:val="24"/>
          <w:szCs w:val="24"/>
          <w:u w:val="single"/>
        </w:rPr>
      </w:r>
    </w:p>
    <w:p>
      <w:pPr>
        <w:pStyle w:val="Department"/>
        <w:jc w:val="center"/>
        <w:rPr>
          <w:b/>
          <w:bCs/>
          <w:sz w:val="24"/>
          <w:szCs w:val="24"/>
        </w:rPr>
      </w:pPr>
      <w:r>
        <w:rPr>
          <w:b/>
          <w:bCs/>
          <w:sz w:val="24"/>
          <w:szCs w:val="24"/>
        </w:rPr>
      </w:r>
    </w:p>
    <w:p>
      <w:pPr>
        <w:pStyle w:val="Department"/>
        <w:jc w:val="center"/>
        <w:rPr>
          <w:b/>
          <w:bCs/>
          <w:sz w:val="24"/>
          <w:szCs w:val="24"/>
        </w:rPr>
      </w:pPr>
      <w:r>
        <w:rPr>
          <w:b/>
          <w:bCs/>
          <w:sz w:val="24"/>
          <w:szCs w:val="24"/>
        </w:rPr>
      </w:r>
    </w:p>
    <w:p>
      <w:pPr>
        <w:pStyle w:val="Department"/>
        <w:jc w:val="center"/>
        <w:rPr>
          <w:b/>
          <w:bCs/>
          <w:sz w:val="24"/>
          <w:szCs w:val="24"/>
        </w:rPr>
      </w:pPr>
      <w:r>
        <w:rPr>
          <w:b/>
          <w:bCs/>
          <w:sz w:val="24"/>
          <w:szCs w:val="24"/>
        </w:rPr>
      </w:r>
    </w:p>
    <w:p>
      <w:pPr>
        <w:pStyle w:val="Department"/>
        <w:jc w:val="center"/>
        <w:rPr>
          <w:b/>
          <w:bCs/>
          <w:sz w:val="24"/>
          <w:szCs w:val="24"/>
        </w:rPr>
      </w:pPr>
      <w:r>
        <w:rPr>
          <w:b/>
          <w:bCs/>
          <w:sz w:val="24"/>
          <w:szCs w:val="24"/>
        </w:rPr>
      </w:r>
    </w:p>
    <w:p>
      <w:pPr>
        <w:pStyle w:val="Department"/>
        <w:jc w:val="center"/>
        <w:rPr>
          <w:b/>
          <w:bCs/>
          <w:sz w:val="24"/>
          <w:szCs w:val="24"/>
        </w:rPr>
      </w:pPr>
      <w:r>
        <w:rPr>
          <w:b/>
          <w:bCs/>
          <w:sz w:val="24"/>
          <w:szCs w:val="24"/>
        </w:rPr>
      </w:r>
    </w:p>
    <w:p>
      <w:pPr>
        <w:pStyle w:val="Department"/>
        <w:jc w:val="center"/>
        <w:rPr>
          <w:b/>
          <w:bCs/>
          <w:sz w:val="24"/>
          <w:szCs w:val="24"/>
        </w:rPr>
      </w:pPr>
      <w:r>
        <w:rPr>
          <w:b/>
          <w:bCs/>
          <w:sz w:val="24"/>
          <w:szCs w:val="24"/>
        </w:rPr>
      </w:r>
    </w:p>
    <w:p>
      <w:pPr>
        <w:pStyle w:val="Department"/>
        <w:jc w:val="center"/>
        <w:rPr>
          <w:b/>
          <w:bCs/>
          <w:sz w:val="24"/>
          <w:szCs w:val="24"/>
        </w:rPr>
      </w:pPr>
      <w:r>
        <w:rPr>
          <w:b/>
          <w:bCs/>
          <w:sz w:val="24"/>
          <w:szCs w:val="24"/>
        </w:rPr>
      </w:r>
    </w:p>
    <w:p>
      <w:pPr>
        <w:pStyle w:val="Department"/>
        <w:jc w:val="center"/>
        <w:rPr>
          <w:b/>
          <w:bCs/>
          <w:sz w:val="24"/>
          <w:szCs w:val="24"/>
        </w:rPr>
      </w:pPr>
      <w:r>
        <w:rPr>
          <w:b/>
          <w:bCs/>
          <w:sz w:val="24"/>
          <w:szCs w:val="24"/>
        </w:rPr>
      </w:r>
    </w:p>
    <w:p>
      <w:pPr>
        <w:pStyle w:val="Department"/>
        <w:jc w:val="end"/>
        <w:rPr>
          <w:b/>
          <w:bCs/>
          <w:sz w:val="24"/>
          <w:szCs w:val="24"/>
        </w:rPr>
      </w:pPr>
      <w:r>
        <w:rPr>
          <w:b/>
          <w:bCs/>
          <w:sz w:val="24"/>
          <w:szCs w:val="24"/>
        </w:rPr>
        <w:t>Robert N. Hemstock</w:t>
      </w:r>
    </w:p>
    <w:p>
      <w:pPr>
        <w:pStyle w:val="Department"/>
        <w:jc w:val="end"/>
        <w:rPr>
          <w:b/>
          <w:bCs/>
          <w:sz w:val="24"/>
          <w:szCs w:val="24"/>
        </w:rPr>
      </w:pPr>
      <w:r>
        <w:rPr>
          <w:b/>
          <w:bCs/>
          <w:sz w:val="24"/>
          <w:szCs w:val="24"/>
        </w:rPr>
        <w:t>Manager, Government Affairs</w:t>
      </w:r>
    </w:p>
    <w:p>
      <w:pPr>
        <w:pStyle w:val="Department"/>
        <w:jc w:val="end"/>
        <w:rPr>
          <w:b/>
          <w:bCs/>
          <w:sz w:val="24"/>
          <w:szCs w:val="24"/>
        </w:rPr>
      </w:pPr>
      <w:r>
        <w:rPr>
          <w:b/>
          <w:bCs/>
          <w:sz w:val="24"/>
          <w:szCs w:val="24"/>
        </w:rPr>
      </w:r>
    </w:p>
    <w:p>
      <w:pPr>
        <w:sectPr>
          <w:headerReference w:type="default" r:id="rId4"/>
          <w:type w:val="nextPage"/>
          <w:pgSz w:w="12240" w:h="15840"/>
          <w:pgMar w:left="1440" w:right="1440" w:gutter="0" w:header="720" w:top="1440" w:footer="0" w:bottom="1440"/>
          <w:pgNumType w:fmt="decimal"/>
          <w:formProt w:val="false"/>
          <w:textDirection w:val="lrTb"/>
        </w:sectPr>
        <w:pStyle w:val="Department"/>
        <w:jc w:val="end"/>
        <w:rPr>
          <w:b/>
          <w:bCs/>
          <w:sz w:val="24"/>
          <w:szCs w:val="24"/>
        </w:rPr>
      </w:pPr>
      <w:r>
        <w:rPr>
          <w:b/>
          <w:bCs/>
          <w:sz w:val="24"/>
          <w:szCs w:val="24"/>
        </w:rPr>
        <w:t>September 15, 1998</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Executive Summary of Enron’s View on Issues Relating to the Form of the PPAs</w:t>
      </w:r>
    </w:p>
    <w:p>
      <w:pPr>
        <w:pStyle w:val="Normal"/>
        <w:rPr>
          <w:rFonts w:ascii="Times New Roman" w:hAnsi="Times New Roman" w:eastAsia="Times New Roman" w:cs="Times New Roman"/>
          <w:sz w:val="24"/>
          <w:szCs w:val="24"/>
        </w:rPr>
      </w:pPr>
      <w:r>
        <w:rPr>
          <w:rFonts w:eastAsia="Times New Roman" w:cs="Times New Roman"/>
          <w:sz w:val="24"/>
          <w:szCs w:val="24"/>
        </w:rPr>
      </w:r>
    </w:p>
    <w:p>
      <w:pPr>
        <w:pStyle w:val="Normal"/>
        <w:rPr/>
      </w:pPr>
      <w:r>
        <w:rPr/>
        <w:t>Enron Capital &amp; Trade Resources Canada Corp. (“Enron”) advocates a form of PPA that allocates risk to the party who has direct control over the ability to manage the risk.  Enron prefers a firm physical PPA model which will serve to focus the owners attention primarily on compliance with their contractual obligations to have their units available during periods of planned availability.</w:t>
      </w:r>
    </w:p>
    <w:p>
      <w:pPr>
        <w:pStyle w:val="Normal"/>
        <w:rPr/>
      </w:pPr>
      <w:r>
        <w:rPr/>
      </w:r>
    </w:p>
    <w:p>
      <w:pPr>
        <w:pStyle w:val="Normal"/>
        <w:rPr/>
      </w:pPr>
      <w:r>
        <w:rPr/>
        <w:t>Enron does not support a model which contemplates inserting the Balancing Pool as an intermediary between owners and buyers.  Enron does however appreciate the legitimate credit concerns expressed by owners and as such supports a model under which the Balancing Pool would be used to ensure payment to the owners of all costs that would otherwise be recoverable under the PPAs.</w:t>
      </w:r>
    </w:p>
    <w:p>
      <w:pPr>
        <w:pStyle w:val="Normal"/>
        <w:rPr/>
      </w:pPr>
      <w:r>
        <w:rPr/>
      </w:r>
    </w:p>
    <w:p>
      <w:pPr>
        <w:pStyle w:val="Normal"/>
        <w:rPr/>
      </w:pPr>
      <w:r>
        <w:rPr/>
        <w:t>Enron supports the development of standard form PPAs covering different plant technology types and/or plant fuel types.  Enron supports the logic behind bundling multiple units into one PPA, subject to any market power implications of such bundling.  Enron would prefer effective term PPAs but, in the alternative, supports a minimum term of ten years for those units that have a base life extending beyond 2020.</w:t>
      </w:r>
    </w:p>
    <w:p>
      <w:pPr>
        <w:pStyle w:val="Normal"/>
        <w:rPr/>
      </w:pPr>
      <w:r>
        <w:rPr/>
      </w:r>
    </w:p>
    <w:p>
      <w:pPr>
        <w:pStyle w:val="Normal"/>
        <w:rPr/>
      </w:pPr>
      <w:r>
        <w:rPr/>
        <w:t>Enron supports a model under which the entire output of a given plant must be bid into the pool by the buyer and the buyer must have the right to retain all pool price revenues associated with planned output.  The exception to this is a case where the owner develops an unregulated unit on a common site that serves existing units.</w:t>
      </w:r>
    </w:p>
    <w:p>
      <w:pPr>
        <w:pStyle w:val="Normal"/>
        <w:rPr/>
      </w:pPr>
      <w:r>
        <w:rPr/>
      </w:r>
    </w:p>
    <w:p>
      <w:pPr>
        <w:pStyle w:val="Normal"/>
        <w:rPr/>
      </w:pPr>
      <w:r>
        <w:rPr/>
        <w:t>Enron advocates a model under which force majeure risk should continue to rest with customers through the approval of recovery of insurance premiums paid by owners to address the potential for the loss of fixed cost recovery during periods of force majeure.</w:t>
      </w:r>
    </w:p>
    <w:p>
      <w:pPr>
        <w:pStyle w:val="Normal"/>
        <w:rPr/>
      </w:pPr>
      <w:r>
        <w:rPr/>
      </w:r>
    </w:p>
    <w:p>
      <w:pPr>
        <w:pStyle w:val="Normal"/>
        <w:rPr/>
      </w:pPr>
      <w:r>
        <w:rPr/>
        <w:t>Enron supports a model that would allow for the assignment of PPAs by either owners or buyers subject to the approval of the counter-party, which approval shall not be unreasonably withheld.</w:t>
      </w:r>
    </w:p>
    <w:p>
      <w:pPr>
        <w:pStyle w:val="Normal"/>
        <w:rPr/>
      </w:pPr>
      <w:r>
        <w:rPr/>
      </w:r>
    </w:p>
    <w:p>
      <w:pPr>
        <w:pStyle w:val="Normal"/>
        <w:rPr/>
      </w:pPr>
      <w:r>
        <w:rPr/>
        <w:t>Enron supports capacity/availability payment incentives based on a mechanism that would allow for the recovery of a premium above full fixed cost recovery.  Enron advocates a model under which penalties for unit unavailability during periods of planned availability are calculated based on liquidated damages.  Enron argues that the lack of symmetry between availability incentives and penalties is reasonable and consistent with the degree of risk/reward faced by buyers.  Enron supports an energy payment regime under which fuel and variable O&amp;M payments are tied to heat rate and price indices expressed in $/Mwh.  Enron, however, advocates a model that would provide buyers with the option to assume price and supply risk.</w:t>
      </w:r>
    </w:p>
    <w:p>
      <w:pPr>
        <w:pStyle w:val="Normal"/>
        <w:rPr/>
      </w:pPr>
      <w:r>
        <w:rPr/>
      </w:r>
    </w:p>
    <w:p>
      <w:pPr>
        <w:pStyle w:val="Normal"/>
        <w:rPr/>
      </w:pPr>
      <w:r>
        <w:rPr/>
        <w:t>Enron advocates a model under which the auction price is paid by successful bidders in the form of an “up-front” capital payment to the Balancing Pool and the owner’s fixed and variable cost entitlements paid over the term of the PPA.</w:t>
      </w:r>
    </w:p>
    <w:p>
      <w:pPr>
        <w:pStyle w:val="Normal"/>
        <w:rPr/>
      </w:pPr>
      <w:r>
        <w:rPr/>
      </w:r>
    </w:p>
    <w:p>
      <w:pPr>
        <w:pStyle w:val="Normal"/>
        <w:rPr>
          <w:b/>
          <w:bCs/>
          <w:u w:val="single"/>
        </w:rPr>
      </w:pPr>
      <w:r>
        <w:rPr>
          <w:b/>
          <w:bCs/>
          <w:u w:val="single"/>
        </w:rPr>
        <w:t>Introduction</w:t>
      </w:r>
    </w:p>
    <w:p>
      <w:pPr>
        <w:pStyle w:val="Normal"/>
        <w:rPr/>
      </w:pPr>
      <w:r>
        <w:rPr/>
      </w:r>
    </w:p>
    <w:p>
      <w:pPr>
        <w:pStyle w:val="Normal"/>
        <w:rPr/>
      </w:pPr>
      <w:r>
        <w:rPr/>
        <w:t xml:space="preserve">Enron appreciates the opportunity to provide comments to Pricewaterhouse Coopers (“PwC”) on the form of the Power Purchase Arrangements (“PPAs”) and looks forward to further consultations with PwC as this process proceeds.  </w:t>
      </w:r>
    </w:p>
    <w:p>
      <w:pPr>
        <w:pStyle w:val="Normal"/>
        <w:rPr/>
      </w:pPr>
      <w:r>
        <w:rPr/>
      </w:r>
    </w:p>
    <w:p>
      <w:pPr>
        <w:pStyle w:val="Normal"/>
        <w:rPr/>
      </w:pPr>
      <w:r>
        <w:rPr/>
        <w:t>Enron appreciates the significant challenge faced by PwC in determining a form of PPA that appropriately allocates the risks inherent in a capacity availability contract to the party that is best equipped to manage that risk. Enron is hopeful that its comments will assist PwC in achieving a further understanding of the relevant issues, from the perspective of a potential participant in the PPA auction process.</w:t>
      </w:r>
    </w:p>
    <w:p>
      <w:pPr>
        <w:pStyle w:val="Department"/>
        <w:rPr>
          <w:b/>
          <w:bCs/>
          <w:u w:val="single"/>
        </w:rPr>
      </w:pPr>
      <w:r>
        <w:rPr>
          <w:b/>
          <w:bCs/>
          <w:u w:val="single"/>
        </w:rPr>
      </w:r>
    </w:p>
    <w:p>
      <w:pPr>
        <w:pStyle w:val="Department"/>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t>Comments of Enron on Specific PPA Form Issues</w:t>
      </w:r>
    </w:p>
    <w:p>
      <w:pPr>
        <w:pStyle w:val="Department"/>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r>
    </w:p>
    <w:p>
      <w:pPr>
        <w:pStyle w:val="Department"/>
        <w:numPr>
          <w:ilvl w:val="0"/>
          <w:numId w:val="1"/>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Business Risks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supports the model outlined by PwC under which the owners will have the right to make operational decisions consistent with prudent utility practice and the buyers will have the right to plan, and exercise control over, the way in which they will bid the plant into the power pool.  Consistent with this model, it is appropriate that the risks inherent in this model be assumed by the party who has direct control over the management of the risk.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supports the preliminary view of PwC respecting the high level allocation of business risks between owners and buyers, with two exceptions.  First, there will be cases where it is appropriate to allocate fuel price risk to buyers, if the buyer wishes to assume this risk.  Second, in cases of operational failure beyond that contemplated by unplanned outage forecasts,  pool price risk must be borne by the owner.  Enron’s views regarding these two exceptions are developed in greater detail below.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2"/>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Financial vs. Physical Contracts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advocates a PPA form that is as close to a physical product as possible to achieve the market power mitigation objectives of the EUAA and maximize the value of the PPAs.  Financial contracts will not serve to address the issue of market power because, under any form of financial contract model, control of physical dispatch and operation would remain with the incumbent utilities.  It is essential that buyers of the PPAs obtain dispatch rights as without this the market power issues that exist in Alberta, and which have been documented in the London Economics Report, cannot be effectively addressed.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Assuming the PPAs take the form of a physical product, Enron is of the view that the owners will still be capable of influencing the pool price because they will continue to retain operational control over the availability of their regulated and unregulated units.  Buyers will not control the on/off switch of the plant but will control the dispatch of the plant when the owner elects to turn it on.  The implications of this reality must be considered and assessed in the context of the implications of unit unavailability during periods of planned availability.</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The absence of absolute control over the dispatch of the unit by the buyers raises two concerns.  The first is the ability of the owner to continue to exercise market power by influencing the pool price through unit availability strategies.  The second is the buyer’s exposure to risks in the event the owner fails to make the unit available.</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With respect to the market power concerns, an owner’s decision to withhold the marginal priced unit from dispatch into the pool will determine whether the next highest priced unit will become the marginal unit and therefore this decision has direct implications on the pool price.  If an owner is bound by the terms of a firm physical PPA and receives incentive payments tied to fixed cost recovery for a particular unit then there is no incentive for that owner to influence pool price.  If, however, an owner is only bound by non-firm physical contractual obligations and receives incentives tied to pool price then there will be instances where it will be in the owner’s financial interest to withhold certain units from production and realize a higher pool price for those units in its portfolio that are operational.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With respect to the risk implications of unplanned outages to the buyer, it is expected that a prudent buyer will hedge all, or a significant portion,  of the physical long position it acquires through ownership of a PPA.  A typical buyer will enter into a financial contract, or swap, under which the buyer will transfer pool price exposure to another counter-party in exchange for that counter-party agreeing to make fixed price payments to the buyer.  Buyers are prohibited, at the present time, from entering into physical bilateral contracts and therefore are unable to accomplish this sort of hedge using a physical bilateral contract.  If a buyer has a financial hedge in place and the owner defaults on its physical PPA delivery obligation by failing to make its unit available, the buyer may incur significant financial loss.  The loss is attributable to the elimination of the buyer’s hedged position due to the loss of its physical supply.  In this circumstance the buyer will no longer be in a position to sell physical energy into the pool and will therefore not receive the pool price based revenue for those volumes.  The buyer will, however, still have an obligation under its financial contract to pay the pool price to its financial counter-party in return for payment of a fixed price by the counter-party.  This problem is compounded by the likely event that the unavailability of the unit in question will serve to impact the pool price upward thereby exacerbating the negative financial impact on the buyer.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It is Enron’s view that a non-firm physical model invites the owners to manage their respective generation facilities as a portfolio with decisions respecting the availability of a unit, at times, being based on the financial impact on the owner’s entire portfolio, as opposed to the operational capabilities of a specific unit.  Under such a non-firm physical model there is a disconnect respecting the risk of such a decision as the risk falls to the buyer who has no ability to control the availability of the unit.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 view of the above, Enron advocates a firm physical PPA model.  Under a firm physical model the risk associated with an owner’s failure to have a unit available during times that it has contracted to do so will rest squarely with the owner, who is the party with control over the unit’s availability.  Further, a firm physical model, combined with the absence of pool price based incentives to owners, will serve to eliminate the incentive for owners to engage in a portfolio management approach to the determination of the availability of specific units.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 the absence of a firm physical PPA it is expected the value of the contracts will be considerably diminished and therefore the resulting bids in the auction will be discounted.  Enron’s views on the precise structure of the appropriate incentive and penalty mechanisms are developed more thoroughly below.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3"/>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Balancing Pool as Owner Counter-party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supports the preliminary view of PwC that PPA holders must be the direct counter-party to generation owners, rather than the Balancing Pool.  The imposition of the Balancing Pool as an intermediary would only serve to introduce an unnecessary level of bureaucracy and disconnect that will impede the ability of the owners and buyers to cooperate and work together to their mutual financial benefit.  This would have the impact of reducing the attractiveness of the PPAs to potential bidders.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Enron recognizes the legitimate credit concerns of the owners, particularly in view of the fact that the owner will have no input into the determination of its PPA counter-party.  To address these concerns, Enron proposes that the Balancing Pool be used to backstop all obligations of a defaulting buyer to an owner, to the extent that the security posted by the buyer is insufficient.  Further, in the event of default by a buyer, the Balancing Pool may undertake the responsibility of appointing and overseeing a receiver who would take the place of a defaulting buyer until such time as a replacement buyer is identified, either through reference to the initial bidding process or by conducting a new auction.</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Enron’s proposal eliminates the need to insert the Balancing Pool between the owner and the buyer to mitigate credit risk and provides the owners with an assurance of full recovery of their fixed costs by allocating the risk of buyer default to customers, through the Balancing Pool.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does not support the position of the owners that the Balancing Pool is needed to ensure that those risks currently borne by customers continue to be dealt with as they have in the past.  The owners have cited force majeure as an example of a possible shift in risk allocation to owners if the Balancing Pool is not otherwise available to pay the owner’s fixed cost during a period of force majeure.  Enron agrees that force majeure risk should continue to reside with customers but believes this can be accomplished by the pass through of insurance premiums paid by owners to protect them from the loss of fixed cost payments during a period of force majeure.  Enron’s views on the issue of force majeure are developed more thoroughly below.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4"/>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Standardized Forms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Enron agrees with the preliminary view of PwC that there are benefits related to standardizing the PPA contracts.  Enron also supports the creation of standard forms covering different plant technology types and/or plant fuel types.  Standard form contracts will serve to minimize the degree of complexity around what is already expected to be a complex analytical process for each bidder to participate in the auction.  This will serve to encourage greater participation in the auction process.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5"/>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Individual Unit PPAs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agrees with the preliminary view of PwC around the logic of including multiple units within one PPA at a single station.  Enron is, however, concerned that this only be done after consideration is given to the implications of such bundling on market power. Enron also supports the bundling of PPAs according to river basin, subject to the same market power concerns.  The comments of Alberta Power and Enmax are instructive on this issue and it is understood from Enron’s discussions with PwC that a thorough examination of the market power implications of any unit bundling will be undertaken prior to a determination being made to do so.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6"/>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Term of the PPA</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would prefer a single auction model for the effective term on the grounds that a single auction will minimize unnecessary administrative costs of multiple auctions to both government and industry.  A longer term is consistent with the idea of the auction being a “virtual sale” of those units with a long base life.  It will provide buyers with sufficient time to enhance their returns over time once they gain dispatch and operational experience in relation to specific units.  It will also provide buyers with comfort that they have a manageable period of time over which to manage market price risk as an alternative to effective term PPAs.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If a single auction model is adopted a full 20 year term will apply to ten regulated units (representing approximately 2750 MW of capacity) as these are the units that have a base life beyond December 31, 2020.  The remaining 50 regulated units offer a range in base life, some of which expire even before January 1, 2001, such that by virtue of the different base life associated with each existing plant there will be a variety of terms available to bidders.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Enron appreciates that some stakeholders are concerned about the potential for bidders to discount the outer years of a long term PPA, and the potential implications of this on the value that customers will ultimately receive.  Enron agrees that the risk profile of the latter years of an effective term contract encourages discounting by bidders but believes the competitive bidding process will serve to protect customers from excessive discounting.  Having said this, in the interests of addressing other stakeholders concerns that the PPAs provide the highest probability that all value is returned to customers, Enron would support a minimum term of 10 years for those units that have a base life extending beyond 2020.</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disagrees with the suggestion that long term PPAs will discourage bidders.  Recent events in the North American generation marketplace have demonstrated that considerable investment capital is available to creditworthy entities to be used to purchase generation.  These events have also demonstrated that buyers are willing to pay a premium to book value for certain types of generation assets.   Consistent with this, Enron suggests that the level of participation in the bidding process will be a direct function of the design of form and content of the PPAs and not the term.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7"/>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Sale and Purchase of Capacity and Energy</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supports the preliminary view of PwC that the entire output of a given plant must be bid into the pool by the buyer and the buyer must have the right to retain all pool price revenues associated with plant output.  This is reasonable if the buyer will assume responsibility for payment of the fixed and variable costs associated with these regulated units.  It also eliminates concerns over the market power implications of the owners being entitled to offer this regulated energy into the power pool.  Finally, this model serves to align the interests of owners and buyers in relation to the operation and dispatch of particular units because, the owners incentive will be focused on the operational integrity of their individual units and not on market price conditions that may exist at any given time.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To encourage owners to achieve efficiencies and deliver the maximum level of reasonable operational output, Enron supports an incentive regime tied to a premium payment above actual fixed costs for unit availability performance in excess of target availability.  Enron recognizes that near the end of a PPA term there may be a small capital base remaining and therefore the incentives tied to premiums over base fixed cost recovery may be disproportionately small.  Enron agrees with Alberta Power that in these circumstances the IAT may wish to consider the imposition of additional compensation mechanisms to address this concern.  In some instances, this issue can be dealt with if the owner’s fixed cost recovery is levelized over the life of the PPA contract.  A more detailed description of Enron’s preferences respecting incentives to owners is provided below.</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Outside of the PPAs, Enron believes there should be no prohibition against a buyer and an owner entering into a collateral agreement under which the parties would contract with each other to share the costs and pool price revenues associated with a capital investment in a unit necessary to add additional capacity to the unit.  This scenario is significantly different than the one described above because it envisions the investment of additional capital by owners and buyers.  If owners are willing to risk additional capital to increase unit availability then it is appropriate that they have the opportunity to receive returns dictated by the market price of the incremental electricity made available.  A reasonable starting point for such a joint venture is to insist that it preserves the buyer’s right to dispatch the entire output of the unit but allow the parties to deal with issues around the dispatch strategy and sharing of revenues in a collateral joint venture agreement.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Enron’s proposal respecting the development of additional capacity availability is not intended to restrict an owner from building an unregulated unit on a common site.  In this scenario, the financial impact on the other units would be restricted to the allocation of common facility costs and therefore the developer of such a unit should be afforded all the rights that a developer of unregulated generation would have, including dispatch rights.  Enron supports the inclusion of a provision in the PPA entitling the owner to unilaterally proceed with such development on the condition that a mechanism is included in the PPA to apportion common costs between the owner of the new unit and the existing holders of PPAs related to existing units on the common site.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8"/>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Insurance</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Enron notes that PwC expressed uncertainty on the issue of whether the buyer should assume some responsibility for damages resulting from the owner’s plant causing system problems.  Enron is not supportive of any PPA provision that would transfer any degree of legal liability associated with the operation of the plant from the owner to the buyer.  It is clear that the owner must have the ultimate right to make operational decisions which will enable it to meet prudent utility practice and to maintain the plant in such a way as to manage the operational risks it has taken on.  Damages related to improper plant operation are clearly within the realm of the business risks faced by the owners.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Department"/>
        <w:numPr>
          <w:ilvl w:val="0"/>
          <w:numId w:val="9"/>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Force Majeure</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Enron supports the preliminary view of PwC that owners should not be exposed to liquidated damages and buyers should not be required to pay fixed costs during a period of force majeure.  It is not necessary to rely on the Balancing Pool to pay the fixed costs of the owners during periods of force majeure.   Enron favors a model under which all owners would be entitled to purchase insurance to protect themselves against the loss of fixed cost payments during a period of force majeure.  The insurance premiums would be recoverable by the owners as part of their fixed costs.  By allowing the owners to recover insurance premium payments as part of their fixed costs, these costs will continue to ultimately be borne by customers in two ways.  First, these fixed costs will be passed through to customers by buyers as they will be factored into the buyer’s bid price for the PPA and the buyer’s offer price to the pool.  Second, when an outage occurs, the bidding strategies of the PPA holders will reflect the supply and demand dynamics in the marketplace such that the outage itself will be expected to impact pool price upward, especially during peak periods.  In both cases, the additional costs associated with the force majeure are passed through to customers without the need for the owner to be compensated by the Balancing Pool.</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proposes that the PPAs limit the duration of any force majeure to an aggregate number of 90 days during a twelve month period, after which time the party not declaring force majeure would be entitled to liquidated damages calculated as the present value of the economic loss, if any, deemed to have been suffered by the party not declaring the force majeure.  A limit on the duration of a force majeure is necessary to provide the appropriate motivation to the party declaring force majeure to expeditiously address any issue preventing it from performing under the PPA.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precise definition of what constitutes a force majeure and the methodology used to calculate liquidated damages are extremely important elements of the PPA.  Enron is willing and interested in reviewing and commenting on any proposed force majeure and liquidated damages language that may be incorporated into the PPAs.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10"/>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Assignment of PPA</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Enron agrees with the preliminary view of PwC that both parties have legitimate interests in assignment of the PPA by the other party.  Enron supports a provision that would require the prior written agreement of the other party provided this provision is qualified by the requirement that such approval shall not be unreasonably withheld.   Enron also supports a provision that entitles an owner to withhold approval if the proposed assignee does not satisfy the credit requirements developed by the IAT as part of the auction rules.  In the event either party believes the other party has unreasonably withheld approval of an assignment the matter should be referable to the court for determination.</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11"/>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Indexation</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supports the use of indexation where market indices provide a reasonable benchmark for the fuel price management performance of the owner. The appeal of indexation is that it affords buyers the opportunity to hedge their long term exposure to fuel price risk.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also supports the use of indexation in cases where the fuel cost of the owner is not subject to market forces as long as the PPA reflects an appropriate discount to a specific index to account for the owner’s ability to acquire its fuel supply at a price consistently below the appropriate index.   An example of this is indexation of coal supply costs for units located at the mine mouth.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believes that the key issues around indexation relate to the specific choice of indexes and the appropriate discounts/premiums to index that form part of each individual PPA.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12"/>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Payments From Buyers to Owners under the PPAs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13"/>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Capacity/Availability Payments - Incentives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advocates a model under which availability incentives are tied to fixed cost recovery rather than pool price.   Fixed cost recovery eliminates market power issues around the owners operational management of the regulated units and focuses the owner’s attention solely on the operational issues at each unit.  The availability targets and associated fixed cost payments must be sculpted based on peak and non-peak hours as well as seasonally to reflect varying levels of capacity value based on market conditions.  Sculpting provides the appropriate incentive to an owner to operationally manage the unit in a manner consistent with the fact that unit availability has a higher value during selected hours and times in the year.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proposes a model under which owners would recover their fixed costs (undepreciated capital costs of the unit as at January 1, 2001, plus fixed operation and maintenance costs, plus salvage costs, and royalty costs) based on the unit’s target availability expressed in terms of a unit’s reasonable operating capacity.  This target availability would account for planned and unplanned outages such that the target availability would be reflective of the percentage of time a unit should reasonably be expected to be in service.  These variables would be used as inputs to determine an hourly capacity payment expressed in $/MW/h.  This $/MW/h capacity payment would then be sculpted based on historical provincial load data on a peak/non-peak and seasonal basis so that fixed cost payments to owners would be the highest during periods of highest historical load.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submits that this model provides the appropriate incentive to owners to have the units available during peak load periods.  The owners are afforded the opportunity to improve their rate of return if they: reduce the percentage of the time the unit is out of service relative to the target availability outage period; ensure the units are available as close to 100% of the time as possible during high load periods; and/or increase the capacity output of the unit.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14"/>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Capacity/Availability Payments - Penalties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advocates a firm physical contract model under which availability penalties are calculated based on liquidated damages tied to pool price.  This position is consistent with the allocation of the risk associated with unplanned outages to the party that has control over unit availability.  The issue of the potential financial loss that buyers would likely face if the PPA takes the form of a non-firm physical instrument is discussed above.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15"/>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Lack of Symmetry Between Availability Incentives and Penalties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recognizes that its position on incentive and penalties is not symmetrical in that it advocates penalties based on liquidated damages and incentives limited to a premium on fixed cost recovery.  Enron believes that such a model is appropriate for two reasons.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First, pool price related incentives present market power issues because they provide the owners with an incentive to engage in portfolio availability management rather than focus their attention solely on the operational management of each unit.  Conversely, fixed price premium recovery focuses the attention of the owner on the operation of each specific unit.</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Second, the lack of symmetry is consistent with the relative risks and rewards borne by buyers and owners.  As has been discussed above, hedged buyers face considerable financial risk if their PPA unit is unavailable during periods of planned availability because they will be left with financial swap obligations and the consequent unhedged exposure to the pool price.  The risk of loss of the entire output of a unit significantly outweighs the potential financial gain a buyer may realize by sharing the revenues associated with some level of incremental production by the owner.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16"/>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Energy Payments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supports an energy payment regime under which fuel and variable O&amp;M payments are tied to heat rates and price indices expressed in $/Mwh.  Such mechanisms allow generators to financially benefit from technical improvements to generation plant efficiency that results in lower heat rate performance and provides an incentive to minimize fuel acquisition costs.  Quantity risk associated with no-load and start-up fuel costs should be borne by buyers as it is the buyers who will typically control start-up frequency.  The quantity of fuel required for net energy production should be at the risk of the owners who control the generating unit’s performance relative to its heat rate.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believes that in some cases, particularly for those units where the fuel is acquired by the owner in the competitive marketplace such as natural gas fired units, it is appropriate for the buyer to have the option under the PPA to assume fuel price risk and supply risk such that the owner would be exposed to heat rate risk only.  This option simply makes the PPA more attractive to potential bidders who have the capability to manage this fuel price and supply risk and therefore is expected to positively impact the expected auction value of certain units.  If a buyer exercises this option under the PPA the owner must be held harmless against any loss incurred by the owner in relation to fuel price or supply.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numPr>
          <w:ilvl w:val="0"/>
          <w:numId w:val="17"/>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Planned Maintenance</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recognizes the owners desire to retain the right to schedule planned maintenance, because maintenance has a significant impact on the operational performance of a unit, for which the owners will be at risk.  From a buyer’s perspective, however, the timing of maintenance has a significant impact on the revenues received from a unit.  In an effort to balance these interests, Enron proposes a model under which the PPAs specify the length of time required each year for planned maintenance.  The PPA would provide the owner with the right to dictate the window within which this maintenance must occur and the buyer would have the right to dictate the specific days within that window.  This model serves to ensure that the required maintenance is performed but control over the revenue impact of the decision regarding the time during which the unit will be taken out of service is left to the buyer. </w:t>
      </w:r>
    </w:p>
    <w:p>
      <w:pPr>
        <w:pStyle w:val="Normal"/>
        <w:rPr>
          <w:rFonts w:ascii="Times New Roman" w:hAnsi="Times New Roman" w:eastAsia="Times New Roman" w:cs="Times New Roman"/>
          <w:sz w:val="24"/>
          <w:szCs w:val="24"/>
        </w:rPr>
      </w:pPr>
      <w:r>
        <w:rPr>
          <w:rFonts w:eastAsia="Times New Roman" w:cs="Times New Roman"/>
          <w:sz w:val="24"/>
          <w:szCs w:val="24"/>
        </w:rPr>
      </w:r>
    </w:p>
    <w:p>
      <w:pPr>
        <w:pStyle w:val="Department"/>
        <w:numPr>
          <w:ilvl w:val="0"/>
          <w:numId w:val="18"/>
        </w:numPr>
        <w:tabs>
          <w:tab w:val="clear" w:pos="720"/>
          <w:tab w:val="left" w:pos="0" w:leader="none"/>
        </w:tabs>
        <w:ind w:hanging="360"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Cost Recovery Issues</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advocates a model under which buyers would be required to make periodic fixed and variable cost payments to the owners directly and an “up-front” capital payment of the auction price to the Balancing Pool.  Under this model the Balancing Pool would assume the credit risk for buyer default under the PPA and would have the benefit of an immediate pool of funds to administer.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Enron disagrees with any suggestion that an up-front capital payment will discourage bidders from participation in the auction.  On the contrary, Enron argues that such a requirement will serve as an appropriate credit screening mechanism which will ensure the auction process is available only to those bidders that are financially capable of participating in it.  It is essential that buyers are sufficiently committed financially to avoid a scenario under which it is in a buyer’s financial interest to default during periods of low pool price.   In the absence of up-front capital payment requirements, the prospect of such default is significantly increased.  </w:t>
      </w:r>
    </w:p>
    <w:p>
      <w:pPr>
        <w:pStyle w:val="Department"/>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5"/>
      <w:headerReference w:type="first" r:id="rId6"/>
      <w:footerReference w:type="default" r:id="rId7"/>
      <w:type w:val="nextPage"/>
      <w:pgSz w:w="12240" w:h="15840"/>
      <w:pgMar w:left="144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eastAsia="Times New Roman" w:cs="Times New Roman" w:ascii="Times New Roman" w:hAnsi="Times New Roman"/>
        <w:sz w:val="20"/>
        <w:szCs w:val="20"/>
      </w:rPr>
      <w:t>Enron Comments on PPA Form</w:t>
    </w:r>
    <w:r>
      <w:rPr>
        <w:rStyle w:val="PageNumber"/>
        <w:sz w:val="16"/>
        <w:szCs w:val="16"/>
      </w:rPr>
      <w:tab/>
    </w:r>
    <w:r>
      <w:rPr>
        <w:rStyle w:val="PageNumber"/>
      </w:rPr>
      <w:tab/>
    </w:r>
    <w:r>
      <w:rPr>
        <w:rStyle w:val="PageNumber"/>
        <w:rFonts w:eastAsia="Times New Roman" w:cs="Times New Roman" w:ascii="Times New Roman" w:hAnsi="Times New Roman"/>
        <w:sz w:val="20"/>
        <w:szCs w:val="20"/>
      </w:rPr>
      <w:fldChar w:fldCharType="begin"/>
    </w:r>
    <w:r>
      <w:rPr>
        <w:rStyle w:val="PageNumber"/>
        <w:sz w:val="20"/>
        <w:szCs w:val="20"/>
        <w:rFonts w:eastAsia="Times New Roman" w:cs="Times New Roman" w:ascii="Times New Roman" w:hAnsi="Times New Roman"/>
      </w:rPr>
      <w:instrText xml:space="preserve"> PAGE </w:instrText>
    </w:r>
    <w:r>
      <w:rPr>
        <w:rStyle w:val="PageNumber"/>
        <w:sz w:val="20"/>
        <w:szCs w:val="20"/>
        <w:rFonts w:eastAsia="Times New Roman" w:cs="Times New Roman" w:ascii="Times New Roman" w:hAnsi="Times New Roman"/>
      </w:rPr>
      <w:fldChar w:fldCharType="separate"/>
    </w:r>
    <w:r>
      <w:rPr>
        <w:rStyle w:val="PageNumber"/>
        <w:sz w:val="20"/>
        <w:szCs w:val="20"/>
        <w:rFonts w:eastAsia="Times New Roman" w:cs="Times New Roman" w:ascii="Times New Roman" w:hAnsi="Times New Roman"/>
      </w:rPr>
      <w:t>11</w:t>
    </w:r>
    <w:r>
      <w:rPr>
        <w:rStyle w:val="PageNumber"/>
        <w:sz w:val="20"/>
        <w:szCs w:val="20"/>
        <w:rFonts w:eastAsia="Times New Roman"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tab/>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7"/>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8"/>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Roman"/>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0"/>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2"/>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3"/>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4"/>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3"/>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4"/>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eastAsia="Arial" w:cs="Arial"/>
    </w:rPr>
  </w:style>
  <w:style w:type="paragraph" w:styleId="Header">
    <w:name w:val="header"/>
    <w:basedOn w:val="Normal"/>
    <w:pPr>
      <w:tabs>
        <w:tab w:val="clear" w:pos="720"/>
        <w:tab w:val="center" w:pos="4320" w:leader="none"/>
        <w:tab w:val="right" w:pos="8640" w:leader="none"/>
        <w:tab w:val="right" w:pos="9360" w:leader="none"/>
      </w:tabs>
    </w:pPr>
    <w:rPr>
      <w:rFonts w:ascii="Arial" w:hAnsi="Arial" w:eastAsia="Arial" w:cs="Arial"/>
    </w:rPr>
  </w:style>
  <w:style w:type="paragraph" w:styleId="Department">
    <w:name w:val="Department"/>
    <w:basedOn w:val="Normal"/>
    <w:qFormat/>
    <w:pPr/>
    <w:rPr>
      <w:rFonts w:ascii="Arial" w:hAnsi="Arial" w:eastAsia="Arial" w:cs="Arial"/>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1998-09-15T21:25:00Z</dcterms:created>
  <dc:creator>rhemsto</dc:creator>
  <dc:description/>
  <dc:language>en-CA</dc:language>
  <cp:lastModifiedBy>rhemsto</cp:lastModifiedBy>
  <cp:lastPrinted>1998-09-15T17:54:00Z</cp:lastPrinted>
  <dcterms:modified xsi:type="dcterms:W3CDTF">1998-09-15T21:29:00Z</dcterms:modified>
  <cp:revision>3</cp:revision>
  <dc:subject/>
  <dc:title> </dc:title>
</cp:coreProperties>
</file>