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08"/>
        <w:rPr/>
      </w:pPr>
      <w:r>
        <w:rPr/>
      </w:r>
    </w:p>
    <w:p>
      <w:pPr>
        <w:pStyle w:val="Normal"/>
        <w:jc w:val="center"/>
        <w:rPr/>
      </w:pPr>
      <w:r>
        <w:rPr/>
        <w:object w:dxaOrig="1920" w:dyaOrig="190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6pt;height:95.2pt" filled="f" o:ole="">
            <v:imagedata r:id="rId3" o:title=""/>
          </v:shape>
          <o:OLEObject Type="Embed" ProgID="" ShapeID="ole_rId2" DrawAspect="Content" ObjectID="_1743692000" r:id="rId2"/>
        </w:object>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t xml:space="preserve">Comments To IAT on Common Form PPA and Related Issues </w:t>
      </w:r>
    </w:p>
    <w:p>
      <w:pPr>
        <w:pStyle w:val="Department"/>
        <w:jc w:val="center"/>
        <w:rPr>
          <w:b/>
          <w:sz w:val="24"/>
          <w:u w:val="single"/>
        </w:rPr>
      </w:pPr>
      <w:r>
        <w:rPr>
          <w:b/>
          <w:sz w:val="24"/>
          <w:u w:val="single"/>
        </w:rPr>
        <w:t xml:space="preserve">Enron Capital &amp; Trade Resources Canada Corp.  </w:t>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rPr>
          <w:b/>
          <w:sz w:val="24"/>
        </w:rPr>
      </w:pPr>
      <w:r>
        <w:rPr>
          <w:b/>
          <w:sz w:val="24"/>
        </w:rPr>
        <w:t>Robert N. Hemstock</w:t>
      </w:r>
    </w:p>
    <w:p>
      <w:pPr>
        <w:pStyle w:val="Department"/>
        <w:rPr>
          <w:b/>
          <w:sz w:val="24"/>
        </w:rPr>
      </w:pPr>
      <w:r>
        <w:rPr>
          <w:b/>
          <w:sz w:val="24"/>
        </w:rPr>
        <w:t>Director, Government Affairs</w:t>
      </w:r>
    </w:p>
    <w:p>
      <w:pPr>
        <w:pStyle w:val="Department"/>
        <w:rPr>
          <w:b/>
          <w:sz w:val="24"/>
        </w:rPr>
      </w:pPr>
      <w:r>
        <w:rPr>
          <w:b/>
          <w:sz w:val="24"/>
        </w:rPr>
        <w:t>Enron Capital &amp; Trade Resources Canada Corp.</w:t>
      </w:r>
    </w:p>
    <w:p>
      <w:pPr>
        <w:pStyle w:val="Department"/>
        <w:rPr>
          <w:b/>
          <w:sz w:val="24"/>
        </w:rPr>
      </w:pPr>
      <w:r>
        <w:rPr>
          <w:b/>
          <w:sz w:val="24"/>
        </w:rPr>
      </w:r>
    </w:p>
    <w:p>
      <w:pPr>
        <w:pStyle w:val="Department"/>
        <w:rPr>
          <w:b/>
          <w:sz w:val="24"/>
        </w:rPr>
      </w:pPr>
      <w:r>
        <w:rPr>
          <w:b/>
          <w:sz w:val="24"/>
        </w:rPr>
        <w:t>June 18, 1999</w:t>
      </w:r>
      <w:r>
        <w:br w:type="page"/>
      </w:r>
    </w:p>
    <w:p>
      <w:pPr>
        <w:pStyle w:val="Department"/>
        <w:rPr>
          <w:rFonts w:ascii="Times New Roman" w:hAnsi="Times New Roman" w:cs="Times New Roman"/>
          <w:b/>
          <w:sz w:val="24"/>
          <w:u w:val="single"/>
        </w:rPr>
      </w:pPr>
      <w:r>
        <w:rPr>
          <w:rFonts w:cs="Times New Roman" w:ascii="Times New Roman" w:hAnsi="Times New Roman"/>
          <w:b/>
          <w:sz w:val="24"/>
          <w:u w:val="single"/>
        </w:rPr>
        <w:t>I. Introduction</w:t>
      </w:r>
    </w:p>
    <w:p>
      <w:pPr>
        <w:pStyle w:val="Footer"/>
        <w:tabs>
          <w:tab w:val="clear" w:pos="4320"/>
          <w:tab w:val="clear" w:pos="8640"/>
        </w:tabs>
        <w:rPr>
          <w:rFonts w:ascii="Times New Roman" w:hAnsi="Times New Roman" w:cs="Times New Roman"/>
          <w:b/>
          <w:sz w:val="24"/>
          <w:u w:val="single"/>
        </w:rPr>
      </w:pPr>
      <w:r>
        <w:rPr>
          <w:rFonts w:cs="Times New Roman" w:ascii="Times New Roman" w:hAnsi="Times New Roman"/>
          <w:b/>
          <w:sz w:val="24"/>
          <w:u w:val="single"/>
        </w:rPr>
      </w:r>
    </w:p>
    <w:p>
      <w:pPr>
        <w:pStyle w:val="Normal"/>
        <w:rPr/>
      </w:pPr>
      <w:r>
        <w:rPr/>
        <w:t xml:space="preserve">Enron Capital &amp; Trade Resources Canada Corp. (“Enron”) has reviewed selected portions of the comprehensive documentation released by PriceWaterhouse Coopers (the “IAT”) on June 1, 1999 and offers the following comments that are intended to supplement the more detailed comments submitted to the IAT by Enron dated April 30, 1999.  </w:t>
      </w:r>
    </w:p>
    <w:p>
      <w:pPr>
        <w:pStyle w:val="Normal"/>
        <w:rPr/>
      </w:pPr>
      <w:r>
        <w:rPr/>
      </w:r>
    </w:p>
    <w:p>
      <w:pPr>
        <w:pStyle w:val="Heading1"/>
        <w:ind w:hanging="0" w:start="0"/>
        <w:rPr/>
      </w:pPr>
      <w:r>
        <w:rPr/>
        <w:t>II. Outstanding Issues</w:t>
      </w:r>
    </w:p>
    <w:p>
      <w:pPr>
        <w:pStyle w:val="Heading1"/>
        <w:ind w:hanging="0" w:start="0"/>
        <w:rPr/>
      </w:pPr>
      <w:r>
        <w:rPr/>
      </w:r>
    </w:p>
    <w:p>
      <w:pPr>
        <w:pStyle w:val="Heading1"/>
        <w:ind w:hanging="0" w:start="0"/>
        <w:rPr>
          <w:b w:val="false"/>
        </w:rPr>
      </w:pPr>
      <w:r>
        <w:rPr>
          <w:b w:val="false"/>
        </w:rPr>
        <w:t>Article 4.3 - Change in Law</w:t>
      </w:r>
    </w:p>
    <w:p>
      <w:pPr>
        <w:pStyle w:val="Normal"/>
        <w:rPr>
          <w:b/>
        </w:rPr>
      </w:pPr>
      <w:r>
        <w:rPr>
          <w:b/>
        </w:rPr>
      </w:r>
    </w:p>
    <w:p>
      <w:pPr>
        <w:pStyle w:val="Normal"/>
        <w:rPr/>
      </w:pPr>
      <w:r>
        <w:rPr/>
        <w:t xml:space="preserve">Enron understands the draft PPA entitles the Buyer to exit the PPA without receiving or paying a termination payment in the event that a change in law is reasonably expected to make continued performance by the Buyer unprofitable.  This exit option is intended to provide a cap on the Buyers’ potential financial exposure.  While the inclusion of such a provision in the PPA was a positive development, Enron continues to be of the view that a preferable option is to simply transfer change in law risk to the Balancing Pool.   </w:t>
      </w:r>
    </w:p>
    <w:p>
      <w:pPr>
        <w:pStyle w:val="Normal"/>
        <w:rPr/>
      </w:pPr>
      <w:r>
        <w:rPr/>
      </w:r>
    </w:p>
    <w:p>
      <w:pPr>
        <w:pStyle w:val="Normal"/>
        <w:rPr/>
      </w:pPr>
      <w:r>
        <w:rPr/>
        <w:t xml:space="preserve">In the IAT’s Paper entitled: “The Form of the Power Purchase Arrangement” the IAT indicated at page 77 that: …the Buyer is better situated to manage such risk (as it stands a good chance of being able to pass on such costs to consumers through its sales of electricity).”  Based on this statement it would seem logical for the consumer to simply bear this risk from the outset and avoid the Buyer having to bear the risk of not being able to pass these costs on to consumers.   For the reasons Enron articulated in its prior comments, the Buyer will have a very limited ability to effectively manage this risk and therefore it is likely to be priced by the Buyer well above cost.  In contrast, if change in law risk is borne by consumers it need not be managed, per se, but will rather be paid for at cost.   In view of this, the allocation of this risk to Buyers would be inconsistent with the statement by the IAT at page 11 that: “to the extent that no party can manage it, it should be allocated to the party who can bear it a least cost”. </w:t>
      </w:r>
    </w:p>
    <w:p>
      <w:pPr>
        <w:pStyle w:val="Normal"/>
        <w:rPr/>
      </w:pPr>
      <w:r>
        <w:rPr/>
      </w:r>
    </w:p>
    <w:p>
      <w:pPr>
        <w:pStyle w:val="Normal"/>
        <w:rPr/>
      </w:pPr>
      <w:r>
        <w:rPr/>
        <w:t xml:space="preserve">In the IAT discussion of this issue there is no explanation offered as to why, in relation to formerly regulated generation units for which consumers have historically borne the change in law risk, a decision has been taken to shift this risk to the Buyer.  If the IAT is not prepared to reconsider its preliminary determination on this issue Enron invites the IAT to explain the rationale behind not allocating this risk to consumers. </w:t>
      </w:r>
    </w:p>
    <w:p>
      <w:pPr>
        <w:pStyle w:val="Normal"/>
        <w:rPr/>
      </w:pPr>
      <w:r>
        <w:rPr/>
      </w:r>
    </w:p>
    <w:p>
      <w:pPr>
        <w:pStyle w:val="Heading3"/>
        <w:ind w:hanging="0" w:start="0"/>
        <w:rPr/>
      </w:pPr>
      <w:r>
        <w:rPr/>
        <w:t xml:space="preserve">Article 14 – Force Majeure </w:t>
      </w:r>
    </w:p>
    <w:p>
      <w:pPr>
        <w:pStyle w:val="Normal"/>
        <w:rPr/>
      </w:pPr>
      <w:r>
        <w:rPr/>
      </w:r>
    </w:p>
    <w:p>
      <w:pPr>
        <w:pStyle w:val="Normal"/>
        <w:rPr/>
      </w:pPr>
      <w:r>
        <w:rPr/>
        <w:t>Enron continues to be opposed to the inclusion of a HILP Event in the definition of Force Majeure on the grounds that a HILP Event is, by definition, a mechanical breakdown of significant proportions.  Mechanical breakdowns of any sort that are in any way related to the maintenance practices employed by the Owner are by definition “within the reasonable control” of the Owner and therefore offend the first part of the Force Majeure definition.</w:t>
      </w:r>
    </w:p>
    <w:p>
      <w:pPr>
        <w:pStyle w:val="Normal"/>
        <w:rPr/>
      </w:pPr>
      <w:r>
        <w:rPr/>
      </w:r>
    </w:p>
    <w:p>
      <w:pPr>
        <w:pStyle w:val="Normal"/>
        <w:rPr/>
      </w:pPr>
      <w:r>
        <w:rPr/>
        <w:t xml:space="preserve">To the extent that there is a need to insert this non-standard industry provision into the PPA to replace the protection provided to the Owners through the Temporary Suspension Regulations an unacceptable shift has been made of risk to Buyers that should properly be assumed by consumers.  Consumers, rightly or wrongly, were required to assume this risk under the TSRs and therefore to the degree that it is reasonable to continue to provide this unprecedented protection to the Owners, the risks associated with an HILP Event should continue to be borne by consumers.   </w:t>
      </w:r>
    </w:p>
    <w:p>
      <w:pPr>
        <w:pStyle w:val="Normal"/>
        <w:rPr/>
      </w:pPr>
      <w:r>
        <w:rPr/>
      </w:r>
    </w:p>
    <w:p>
      <w:pPr>
        <w:pStyle w:val="Heading3"/>
        <w:ind w:hanging="0" w:start="0"/>
        <w:rPr/>
      </w:pPr>
      <w:r>
        <w:rPr/>
        <w:t>Article 13.2 – Consequential Loss</w:t>
      </w:r>
    </w:p>
    <w:p>
      <w:pPr>
        <w:pStyle w:val="Normal"/>
        <w:rPr/>
      </w:pPr>
      <w:r>
        <w:rPr/>
      </w:r>
    </w:p>
    <w:p>
      <w:pPr>
        <w:pStyle w:val="Normal"/>
        <w:rPr/>
      </w:pPr>
      <w:r>
        <w:rPr/>
        <w:t>The present draft PPA affords protection against consequential damages to the Owner only.  Enron advocates the inclusion of language in the PPA that is more symmetrical and eliminates the Owner’s or the Balancing Pool’s right or entitlement to recover consequential or indirect damages from the Buyer.</w:t>
      </w:r>
    </w:p>
    <w:p>
      <w:pPr>
        <w:pStyle w:val="Normal"/>
        <w:rPr/>
      </w:pPr>
      <w:r>
        <w:rPr/>
      </w:r>
    </w:p>
    <w:p>
      <w:pPr>
        <w:pStyle w:val="Heading3"/>
        <w:ind w:hanging="0" w:start="0"/>
        <w:rPr/>
      </w:pPr>
      <w:r>
        <w:rPr/>
        <w:t>Article 2.2 and Schedule F – Excess Energy</w:t>
      </w:r>
    </w:p>
    <w:p>
      <w:pPr>
        <w:pStyle w:val="Normal"/>
        <w:rPr>
          <w:u w:val="single"/>
        </w:rPr>
      </w:pPr>
      <w:r>
        <w:rPr>
          <w:u w:val="single"/>
        </w:rPr>
      </w:r>
    </w:p>
    <w:p>
      <w:pPr>
        <w:pStyle w:val="Normal"/>
        <w:rPr/>
      </w:pPr>
      <w:r>
        <w:rPr/>
        <w:t xml:space="preserve">Enron continues to support its position that the excess energy benefit that may accrue to Owners is excessive.  In addition, Enron advocates the reduction of the capacity payment obligation imposed upon Buyers for those hours in which excess energy returns are earned by Owners.  Such a reduction should be proportionate to the ratio of excess energy to total energy produced.  This approach provides symmetry around the determination made by the IAT that no capacity payment is required from the Buyer in cases where increased capacity has been developed by the Owners.  Arguably, increased capacity available to produce excess energy is the same as increased capacity arising from incremental investment.  </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Enron_Comments_on_PPA_Form_061899.doc</w:t>
    </w:r>
    <w:r>
      <w:rPr>
        <w:sz w:val="16"/>
        <w:lang w:eastAsia="en-US"/>
      </w:rPr>
      <w:fldChar w:fldCharType="end"/>
    </w:r>
    <w:r>
      <w:rPr>
        <w:sz w:val="16"/>
      </w:rPr>
      <w:tab/>
      <w:tab/>
    </w:r>
    <w:r>
      <w:rPr>
        <w:sz w:val="16"/>
        <w:lang w:eastAsia="en-US"/>
      </w:rPr>
      <w:tab/>
    </w:r>
    <w:r>
      <mc:AlternateContent>
        <mc:Choice Requires="wps">
          <w:drawing>
            <wp:anchor behindDoc="0" distT="0" distB="0" distL="0" distR="0" simplePos="0" locked="0" layoutInCell="0" allowOverlap="1" relativeHeight="3">
              <wp:simplePos x="0" y="0"/>
              <wp:positionH relativeFrom="page">
                <wp:posOffset>6767195</wp:posOffset>
              </wp:positionH>
              <wp:positionV relativeFrom="paragraph">
                <wp:posOffset>-38100</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3pt;mso-position-vertical-relative:text;margin-left:532.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u w:val="single"/>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Arial" w:hAnsi="Arial" w:cs="Arial"/>
      <w:b w:val="false"/>
      <w:i w:val="false"/>
      <w:sz w:val="20"/>
      <w:u w:val="none"/>
    </w:rPr>
  </w:style>
  <w:style w:type="character" w:styleId="WW8Num4z0">
    <w:name w:val="WW8Num4z0"/>
    <w:qFormat/>
    <w:rPr>
      <w:rFonts w:ascii="Arial" w:hAnsi="Arial" w:cs="Arial"/>
      <w:b w:val="false"/>
      <w:i w:val="false"/>
      <w:sz w:val="20"/>
      <w:u w:val="none"/>
    </w:rPr>
  </w:style>
  <w:style w:type="character" w:styleId="WW8Num5z0">
    <w:name w:val="WW8Num5z0"/>
    <w:qFormat/>
    <w:rPr>
      <w:rFonts w:ascii="Arial" w:hAnsi="Arial" w:cs="Arial"/>
      <w:b w:val="false"/>
      <w:i w:val="false"/>
      <w:sz w:val="20"/>
      <w:u w:val="none"/>
    </w:rPr>
  </w:style>
  <w:style w:type="character" w:styleId="WW8Num6z0">
    <w:name w:val="WW8Num6z0"/>
    <w:qFormat/>
    <w:rPr>
      <w:rFonts w:ascii="Arial" w:hAnsi="Arial" w:cs="Arial"/>
      <w:b w:val="false"/>
      <w:i w:val="false"/>
      <w:sz w:val="20"/>
      <w:u w:val="none"/>
    </w:rPr>
  </w:style>
  <w:style w:type="character" w:styleId="WW8Num7z0">
    <w:name w:val="WW8Num7z0"/>
    <w:qFormat/>
    <w:rPr>
      <w:rFonts w:ascii="Arial" w:hAnsi="Arial" w:cs="Arial"/>
      <w:b w:val="false"/>
      <w:i w:val="false"/>
      <w:sz w:val="20"/>
      <w:u w:val="none"/>
    </w:rPr>
  </w:style>
  <w:style w:type="character" w:styleId="WW8Num8z0">
    <w:name w:val="WW8Num8z0"/>
    <w:qFormat/>
    <w:rPr/>
  </w:style>
  <w:style w:type="character" w:styleId="WW8Num9z0">
    <w:name w:val="WW8Num9z0"/>
    <w:qFormat/>
    <w:rPr>
      <w:rFonts w:ascii="Arial" w:hAnsi="Arial" w:cs="Arial"/>
      <w:b w:val="false"/>
      <w:i w:val="false"/>
      <w:sz w:val="20"/>
      <w:u w:val="none"/>
    </w:rPr>
  </w:style>
  <w:style w:type="character" w:styleId="WW8Num10z0">
    <w:name w:val="WW8Num10z0"/>
    <w:qFormat/>
    <w:rPr>
      <w:rFonts w:ascii="Arial" w:hAnsi="Arial" w:cs="Arial"/>
      <w:b w:val="false"/>
      <w:i w:val="false"/>
      <w:sz w:val="20"/>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Arial" w:hAnsi="Arial" w:cs="Arial"/>
      <w:b w:val="false"/>
      <w:i w:val="false"/>
      <w:sz w:val="20"/>
      <w:u w:val="none"/>
    </w:rPr>
  </w:style>
  <w:style w:type="character" w:styleId="WW8Num15z0">
    <w:name w:val="WW8Num15z0"/>
    <w:qFormat/>
    <w:rPr>
      <w:rFonts w:ascii="Arial" w:hAnsi="Arial" w:cs="Arial"/>
      <w:b w:val="false"/>
      <w:i w:val="false"/>
      <w:sz w:val="20"/>
      <w:u w:val="none"/>
    </w:rPr>
  </w:style>
  <w:style w:type="character" w:styleId="WW8Num16z0">
    <w:name w:val="WW8Num16z0"/>
    <w:qFormat/>
    <w:rPr>
      <w:rFonts w:ascii="Arial" w:hAnsi="Arial" w:cs="Arial"/>
      <w:b w:val="false"/>
      <w:i w:val="false"/>
      <w:sz w:val="20"/>
      <w:u w:val="none"/>
    </w:rPr>
  </w:style>
  <w:style w:type="character" w:styleId="WW8Num17z0">
    <w:name w:val="WW8Num17z0"/>
    <w:qFormat/>
    <w:rPr>
      <w:rFonts w:ascii="Times New Roman" w:hAnsi="Times New Roman" w:cs="Times New Roman"/>
      <w:b w:val="false"/>
      <w:i w:val="false"/>
      <w:sz w:val="24"/>
      <w:u w:val="none"/>
    </w:rPr>
  </w:style>
  <w:style w:type="character" w:styleId="WW8Num19z0">
    <w:name w:val="WW8Num19z0"/>
    <w:qFormat/>
    <w:rPr>
      <w:rFonts w:ascii="Arial" w:hAnsi="Arial" w:cs="Arial"/>
      <w:b w:val="false"/>
      <w:i w:val="false"/>
      <w:sz w:val="20"/>
      <w:u w:val="none"/>
    </w:rPr>
  </w:style>
  <w:style w:type="character" w:styleId="WW8Num20z0">
    <w:name w:val="WW8Num20z0"/>
    <w:qFormat/>
    <w:rPr>
      <w:rFonts w:ascii="Times New Roman" w:hAnsi="Times New Roman" w:cs="Times New Roman"/>
      <w:b w:val="false"/>
      <w:i w:val="false"/>
      <w:sz w:val="24"/>
      <w:u w:val="none"/>
    </w:rPr>
  </w:style>
  <w:style w:type="character" w:styleId="WW8Num21z0">
    <w:name w:val="WW8Num21z0"/>
    <w:qFormat/>
    <w:rPr>
      <w:rFonts w:ascii="Arial" w:hAnsi="Arial" w:cs="Arial"/>
      <w:b w:val="false"/>
      <w:i w:val="false"/>
      <w:sz w:val="20"/>
      <w:u w:val="none"/>
    </w:rPr>
  </w:style>
  <w:style w:type="character" w:styleId="WW8Num22z0">
    <w:name w:val="WW8Num22z0"/>
    <w:qFormat/>
    <w:rPr>
      <w:rFonts w:ascii="Arial" w:hAnsi="Arial" w:cs="Arial"/>
      <w:b w:val="false"/>
      <w:i w:val="false"/>
      <w:sz w:val="20"/>
      <w:u w:val="none"/>
    </w:rPr>
  </w:style>
  <w:style w:type="character" w:styleId="WW8Num23z0">
    <w:name w:val="WW8Num23z0"/>
    <w:qFormat/>
    <w:rPr>
      <w:rFonts w:ascii="Arial" w:hAnsi="Arial" w:cs="Arial"/>
      <w:b w:val="false"/>
      <w:i w:val="false"/>
      <w:sz w:val="20"/>
      <w:u w:val="none"/>
    </w:rPr>
  </w:style>
  <w:style w:type="character" w:styleId="WW8Num24z0">
    <w:name w:val="WW8Num24z0"/>
    <w:qFormat/>
    <w:rPr/>
  </w:style>
  <w:style w:type="character" w:styleId="WW8Num25z0">
    <w:name w:val="WW8Num25z0"/>
    <w:qFormat/>
    <w:rPr>
      <w:rFonts w:ascii="Arial" w:hAnsi="Arial" w:cs="Arial"/>
      <w:b w:val="false"/>
      <w:i w:val="false"/>
      <w:sz w:val="20"/>
      <w:u w:val="none"/>
    </w:rPr>
  </w:style>
  <w:style w:type="character" w:styleId="WW8Num26z0">
    <w:name w:val="WW8Num26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Header">
    <w:name w:val="header"/>
    <w:basedOn w:val="Normal"/>
    <w:pPr>
      <w:tabs>
        <w:tab w:val="clear" w:pos="720"/>
        <w:tab w:val="center" w:pos="4320" w:leader="none"/>
        <w:tab w:val="right" w:pos="8640" w:leader="none"/>
        <w:tab w:val="right" w:pos="9360" w:leader="none"/>
      </w:tabs>
    </w:pPr>
    <w:rPr>
      <w:rFonts w:ascii="Arial" w:hAnsi="Arial" w:cs="Arial"/>
    </w:rPr>
  </w:style>
  <w:style w:type="paragraph" w:styleId="Department">
    <w:name w:val="Department"/>
    <w:basedOn w:val="Normal"/>
    <w:qFormat/>
    <w:pPr/>
    <w:rPr>
      <w:rFonts w:ascii="Arial" w:hAnsi="Arial" w:cs="Arial"/>
      <w:sz w:val="20"/>
    </w:rPr>
  </w:style>
  <w:style w:type="paragraph" w:styleId="DocumentMap">
    <w:name w:val="Document Map"/>
    <w:basedOn w:val="Normal"/>
    <w:qFormat/>
    <w:pPr>
      <w:shd w:fill="000080" w:val="clear"/>
    </w:pPr>
    <w:rPr>
      <w:rFonts w:ascii="Tahoma" w:hAnsi="Tahoma" w:cs="Tahoma"/>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1999-06-18T20:51:00Z</dcterms:created>
  <dc:creator>rhemsto</dc:creator>
  <dc:description/>
  <dc:language>en-CA</dc:language>
  <cp:lastModifiedBy>ECT</cp:lastModifiedBy>
  <cp:lastPrinted>1999-06-18T17:53:00Z</cp:lastPrinted>
  <dcterms:modified xsi:type="dcterms:W3CDTF">1999-06-18T21:36:00Z</dcterms:modified>
  <cp:revision>6</cp:revision>
  <dc:subject/>
  <dc:title> </dc:title>
</cp:coreProperties>
</file>