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08"/>
        <w:rPr/>
      </w:pPr>
      <w:r>
        <w:rPr/>
      </w:r>
    </w:p>
    <w:p>
      <w:pPr>
        <w:pStyle w:val="Normal"/>
        <w:jc w:val="center"/>
        <w:rPr/>
      </w:pPr>
      <w:r>
        <w:rPr/>
        <w:object w:dxaOrig="1920" w:dyaOrig="1904">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96pt;height:95.2pt" filled="f" o:ole="">
            <v:imagedata r:id="rId3" o:title=""/>
          </v:shape>
          <o:OLEObject Type="Embed" ProgID="" ShapeID="ole_rId2" DrawAspect="Content" ObjectID="_178546720" r:id="rId2"/>
        </w:object>
      </w:r>
    </w:p>
    <w:p>
      <w:pPr>
        <w:pStyle w:val="Department"/>
        <w:jc w:val="center"/>
        <w:rPr>
          <w:b/>
          <w:sz w:val="24"/>
          <w:u w:val="single"/>
        </w:rPr>
      </w:pPr>
      <w:r>
        <w:rPr>
          <w:b/>
          <w:sz w:val="24"/>
          <w:u w:val="single"/>
        </w:rPr>
      </w:r>
    </w:p>
    <w:p>
      <w:pPr>
        <w:pStyle w:val="Department"/>
        <w:jc w:val="center"/>
        <w:rPr>
          <w:b/>
          <w:sz w:val="24"/>
          <w:u w:val="single"/>
        </w:rPr>
      </w:pPr>
      <w:r>
        <w:rPr>
          <w:b/>
          <w:sz w:val="24"/>
          <w:u w:val="single"/>
        </w:rPr>
      </w:r>
    </w:p>
    <w:p>
      <w:pPr>
        <w:pStyle w:val="Department"/>
        <w:jc w:val="center"/>
        <w:rPr>
          <w:b/>
          <w:sz w:val="24"/>
          <w:u w:val="single"/>
        </w:rPr>
      </w:pPr>
      <w:r>
        <w:rPr>
          <w:b/>
          <w:sz w:val="24"/>
          <w:u w:val="single"/>
        </w:rPr>
      </w:r>
    </w:p>
    <w:p>
      <w:pPr>
        <w:pStyle w:val="Department"/>
        <w:jc w:val="center"/>
        <w:rPr>
          <w:b/>
          <w:sz w:val="24"/>
          <w:u w:val="single"/>
        </w:rPr>
      </w:pPr>
      <w:r>
        <w:rPr>
          <w:b/>
          <w:sz w:val="24"/>
          <w:u w:val="single"/>
        </w:rPr>
      </w:r>
    </w:p>
    <w:p>
      <w:pPr>
        <w:pStyle w:val="Department"/>
        <w:jc w:val="center"/>
        <w:rPr>
          <w:b/>
          <w:sz w:val="24"/>
          <w:u w:val="single"/>
        </w:rPr>
      </w:pPr>
      <w:r>
        <w:rPr>
          <w:b/>
          <w:sz w:val="24"/>
          <w:u w:val="single"/>
        </w:rPr>
        <w:t xml:space="preserve">Final Comments To IAT on Common Form Thermal PPA and Related Issues </w:t>
      </w:r>
    </w:p>
    <w:p>
      <w:pPr>
        <w:pStyle w:val="Department"/>
        <w:jc w:val="center"/>
        <w:rPr>
          <w:b/>
          <w:sz w:val="24"/>
          <w:u w:val="single"/>
        </w:rPr>
      </w:pPr>
      <w:r>
        <w:rPr>
          <w:b/>
          <w:sz w:val="24"/>
          <w:u w:val="single"/>
        </w:rPr>
        <w:t xml:space="preserve">Enron Capital &amp; Trade Resources Canada Corp.  </w:t>
      </w:r>
    </w:p>
    <w:p>
      <w:pPr>
        <w:pStyle w:val="Department"/>
        <w:jc w:val="center"/>
        <w:rPr>
          <w:b/>
          <w:sz w:val="24"/>
          <w:u w:val="single"/>
        </w:rPr>
      </w:pPr>
      <w:r>
        <w:rPr>
          <w:b/>
          <w:sz w:val="24"/>
          <w:u w:val="single"/>
        </w:rPr>
      </w:r>
    </w:p>
    <w:p>
      <w:pPr>
        <w:pStyle w:val="Department"/>
        <w:jc w:val="center"/>
        <w:rPr>
          <w:b/>
          <w:sz w:val="24"/>
          <w:u w:val="single"/>
        </w:rPr>
      </w:pPr>
      <w:r>
        <w:rPr>
          <w:b/>
          <w:sz w:val="24"/>
          <w:u w:val="single"/>
        </w:rPr>
      </w:r>
    </w:p>
    <w:p>
      <w:pPr>
        <w:pStyle w:val="Department"/>
        <w:jc w:val="center"/>
        <w:rPr>
          <w:b/>
          <w:sz w:val="24"/>
          <w:u w:val="single"/>
        </w:rPr>
      </w:pPr>
      <w:r>
        <w:rPr>
          <w:b/>
          <w:sz w:val="24"/>
          <w:u w:val="single"/>
        </w:rPr>
      </w:r>
    </w:p>
    <w:p>
      <w:pPr>
        <w:pStyle w:val="Department"/>
        <w:jc w:val="center"/>
        <w:rPr>
          <w:b/>
          <w:sz w:val="24"/>
          <w:u w:val="single"/>
        </w:rPr>
      </w:pPr>
      <w:r>
        <w:rPr>
          <w:b/>
          <w:sz w:val="24"/>
          <w:u w:val="single"/>
        </w:rPr>
      </w:r>
    </w:p>
    <w:p>
      <w:pPr>
        <w:pStyle w:val="Department"/>
        <w:jc w:val="center"/>
        <w:rPr>
          <w:b/>
          <w:sz w:val="24"/>
          <w:u w:val="single"/>
        </w:rPr>
      </w:pPr>
      <w:r>
        <w:rPr>
          <w:b/>
          <w:sz w:val="24"/>
          <w:u w:val="single"/>
        </w:rPr>
      </w:r>
    </w:p>
    <w:p>
      <w:pPr>
        <w:pStyle w:val="Department"/>
        <w:jc w:val="center"/>
        <w:rPr>
          <w:b/>
          <w:sz w:val="24"/>
          <w:u w:val="single"/>
        </w:rPr>
      </w:pPr>
      <w:r>
        <w:rPr>
          <w:b/>
          <w:sz w:val="24"/>
          <w:u w:val="single"/>
        </w:rPr>
      </w:r>
    </w:p>
    <w:p>
      <w:pPr>
        <w:pStyle w:val="Department"/>
        <w:jc w:val="center"/>
        <w:rPr>
          <w:b/>
          <w:sz w:val="24"/>
          <w:u w:val="single"/>
        </w:rPr>
      </w:pPr>
      <w:r>
        <w:rPr>
          <w:b/>
          <w:sz w:val="24"/>
          <w:u w:val="single"/>
        </w:rPr>
      </w:r>
    </w:p>
    <w:p>
      <w:pPr>
        <w:pStyle w:val="Department"/>
        <w:jc w:val="center"/>
        <w:rPr>
          <w:b/>
          <w:sz w:val="24"/>
          <w:u w:val="single"/>
        </w:rPr>
      </w:pPr>
      <w:r>
        <w:rPr>
          <w:b/>
          <w:sz w:val="24"/>
          <w:u w:val="single"/>
        </w:rPr>
      </w:r>
    </w:p>
    <w:p>
      <w:pPr>
        <w:pStyle w:val="Department"/>
        <w:jc w:val="center"/>
        <w:rPr>
          <w:b/>
          <w:sz w:val="24"/>
          <w:u w:val="single"/>
        </w:rPr>
      </w:pPr>
      <w:r>
        <w:rPr>
          <w:b/>
          <w:sz w:val="24"/>
          <w:u w:val="single"/>
        </w:rPr>
      </w:r>
    </w:p>
    <w:p>
      <w:pPr>
        <w:pStyle w:val="Department"/>
        <w:jc w:val="center"/>
        <w:rPr>
          <w:b/>
          <w:sz w:val="24"/>
          <w:u w:val="single"/>
        </w:rPr>
      </w:pPr>
      <w:r>
        <w:rPr>
          <w:b/>
          <w:sz w:val="24"/>
          <w:u w:val="single"/>
        </w:rPr>
      </w:r>
    </w:p>
    <w:p>
      <w:pPr>
        <w:pStyle w:val="Department"/>
        <w:jc w:val="center"/>
        <w:rPr>
          <w:b/>
          <w:sz w:val="24"/>
          <w:u w:val="single"/>
        </w:rPr>
      </w:pPr>
      <w:r>
        <w:rPr>
          <w:b/>
          <w:sz w:val="24"/>
          <w:u w:val="single"/>
        </w:rPr>
      </w:r>
    </w:p>
    <w:p>
      <w:pPr>
        <w:pStyle w:val="Department"/>
        <w:jc w:val="center"/>
        <w:rPr>
          <w:b/>
          <w:sz w:val="24"/>
          <w:u w:val="single"/>
        </w:rPr>
      </w:pPr>
      <w:r>
        <w:rPr>
          <w:b/>
          <w:sz w:val="24"/>
          <w:u w:val="single"/>
        </w:rPr>
      </w:r>
    </w:p>
    <w:p>
      <w:pPr>
        <w:pStyle w:val="Department"/>
        <w:jc w:val="center"/>
        <w:rPr>
          <w:b/>
          <w:sz w:val="24"/>
          <w:u w:val="single"/>
        </w:rPr>
      </w:pPr>
      <w:r>
        <w:rPr>
          <w:b/>
          <w:sz w:val="24"/>
          <w:u w:val="single"/>
        </w:rPr>
      </w:r>
    </w:p>
    <w:p>
      <w:pPr>
        <w:pStyle w:val="Department"/>
        <w:jc w:val="center"/>
        <w:rPr>
          <w:b/>
          <w:sz w:val="24"/>
          <w:u w:val="single"/>
        </w:rPr>
      </w:pPr>
      <w:r>
        <w:rPr>
          <w:b/>
          <w:sz w:val="24"/>
          <w:u w:val="single"/>
        </w:rPr>
      </w:r>
    </w:p>
    <w:p>
      <w:pPr>
        <w:pStyle w:val="Department"/>
        <w:jc w:val="center"/>
        <w:rPr>
          <w:b/>
          <w:sz w:val="24"/>
        </w:rPr>
      </w:pPr>
      <w:r>
        <w:rPr>
          <w:b/>
          <w:sz w:val="24"/>
        </w:rPr>
      </w:r>
    </w:p>
    <w:p>
      <w:pPr>
        <w:pStyle w:val="Department"/>
        <w:jc w:val="center"/>
        <w:rPr>
          <w:b/>
          <w:sz w:val="24"/>
        </w:rPr>
      </w:pPr>
      <w:r>
        <w:rPr>
          <w:b/>
          <w:sz w:val="24"/>
        </w:rPr>
      </w:r>
    </w:p>
    <w:p>
      <w:pPr>
        <w:pStyle w:val="Department"/>
        <w:jc w:val="center"/>
        <w:rPr>
          <w:b/>
          <w:sz w:val="24"/>
        </w:rPr>
      </w:pPr>
      <w:r>
        <w:rPr>
          <w:b/>
          <w:sz w:val="24"/>
        </w:rPr>
      </w:r>
    </w:p>
    <w:p>
      <w:pPr>
        <w:pStyle w:val="Department"/>
        <w:jc w:val="center"/>
        <w:rPr>
          <w:b/>
          <w:sz w:val="24"/>
        </w:rPr>
      </w:pPr>
      <w:r>
        <w:rPr>
          <w:b/>
          <w:sz w:val="24"/>
        </w:rPr>
      </w:r>
    </w:p>
    <w:p>
      <w:pPr>
        <w:pStyle w:val="Department"/>
        <w:jc w:val="center"/>
        <w:rPr>
          <w:b/>
          <w:sz w:val="24"/>
        </w:rPr>
      </w:pPr>
      <w:r>
        <w:rPr>
          <w:b/>
          <w:sz w:val="24"/>
        </w:rPr>
      </w:r>
    </w:p>
    <w:p>
      <w:pPr>
        <w:pStyle w:val="Department"/>
        <w:jc w:val="center"/>
        <w:rPr>
          <w:b/>
          <w:sz w:val="24"/>
        </w:rPr>
      </w:pPr>
      <w:r>
        <w:rPr>
          <w:b/>
          <w:sz w:val="24"/>
        </w:rPr>
      </w:r>
    </w:p>
    <w:p>
      <w:pPr>
        <w:pStyle w:val="Department"/>
        <w:jc w:val="center"/>
        <w:rPr>
          <w:b/>
          <w:sz w:val="24"/>
        </w:rPr>
      </w:pPr>
      <w:r>
        <w:rPr>
          <w:b/>
          <w:sz w:val="24"/>
        </w:rPr>
      </w:r>
    </w:p>
    <w:p>
      <w:pPr>
        <w:pStyle w:val="Department"/>
        <w:jc w:val="center"/>
        <w:rPr>
          <w:b/>
          <w:sz w:val="24"/>
        </w:rPr>
      </w:pPr>
      <w:r>
        <w:rPr>
          <w:b/>
          <w:sz w:val="24"/>
        </w:rPr>
      </w:r>
    </w:p>
    <w:p>
      <w:pPr>
        <w:pStyle w:val="Department"/>
        <w:jc w:val="center"/>
        <w:rPr>
          <w:b/>
          <w:sz w:val="24"/>
        </w:rPr>
      </w:pPr>
      <w:r>
        <w:rPr>
          <w:b/>
          <w:sz w:val="24"/>
        </w:rPr>
      </w:r>
    </w:p>
    <w:p>
      <w:pPr>
        <w:pStyle w:val="Department"/>
        <w:rPr>
          <w:b/>
          <w:sz w:val="24"/>
        </w:rPr>
      </w:pPr>
      <w:r>
        <w:rPr>
          <w:b/>
          <w:sz w:val="24"/>
        </w:rPr>
        <w:t>Robert N. Hemstock</w:t>
      </w:r>
    </w:p>
    <w:p>
      <w:pPr>
        <w:pStyle w:val="Department"/>
        <w:rPr>
          <w:b/>
          <w:sz w:val="24"/>
        </w:rPr>
      </w:pPr>
      <w:r>
        <w:rPr>
          <w:b/>
          <w:sz w:val="24"/>
        </w:rPr>
        <w:t>Manager, Government Affairs</w:t>
      </w:r>
    </w:p>
    <w:p>
      <w:pPr>
        <w:pStyle w:val="Department"/>
        <w:rPr>
          <w:b/>
          <w:sz w:val="24"/>
        </w:rPr>
      </w:pPr>
      <w:r>
        <w:rPr>
          <w:b/>
          <w:sz w:val="24"/>
        </w:rPr>
        <w:t>Enron Capital &amp; Trade Resources Canada Corp.</w:t>
      </w:r>
    </w:p>
    <w:p>
      <w:pPr>
        <w:pStyle w:val="Department"/>
        <w:rPr>
          <w:b/>
          <w:sz w:val="24"/>
        </w:rPr>
      </w:pPr>
      <w:r>
        <w:rPr>
          <w:b/>
          <w:sz w:val="24"/>
        </w:rPr>
      </w:r>
    </w:p>
    <w:p>
      <w:pPr>
        <w:pStyle w:val="Department"/>
        <w:rPr>
          <w:b/>
          <w:sz w:val="24"/>
        </w:rPr>
      </w:pPr>
      <w:r>
        <w:rPr>
          <w:b/>
          <w:sz w:val="24"/>
        </w:rPr>
        <w:t>April 30, 1999</w:t>
      </w:r>
      <w:r>
        <w:br w:type="page"/>
      </w:r>
    </w:p>
    <w:p>
      <w:pPr>
        <w:pStyle w:val="Department"/>
        <w:rPr>
          <w:rFonts w:ascii="Times New Roman" w:hAnsi="Times New Roman" w:cs="Times New Roman"/>
          <w:b/>
          <w:sz w:val="24"/>
          <w:u w:val="single"/>
        </w:rPr>
      </w:pPr>
      <w:r>
        <w:rPr>
          <w:rFonts w:cs="Times New Roman" w:ascii="Times New Roman" w:hAnsi="Times New Roman"/>
          <w:b/>
          <w:sz w:val="24"/>
          <w:u w:val="single"/>
        </w:rPr>
        <w:t>I. Introduction</w:t>
      </w:r>
    </w:p>
    <w:p>
      <w:pPr>
        <w:pStyle w:val="Footer"/>
        <w:tabs>
          <w:tab w:val="clear" w:pos="4320"/>
          <w:tab w:val="clear" w:pos="8640"/>
        </w:tabs>
        <w:rPr>
          <w:rFonts w:ascii="Times New Roman" w:hAnsi="Times New Roman" w:cs="Times New Roman"/>
          <w:b/>
          <w:sz w:val="24"/>
          <w:u w:val="single"/>
        </w:rPr>
      </w:pPr>
      <w:r>
        <w:rPr>
          <w:rFonts w:cs="Times New Roman" w:ascii="Times New Roman" w:hAnsi="Times New Roman"/>
          <w:b/>
          <w:sz w:val="24"/>
          <w:u w:val="single"/>
        </w:rPr>
      </w:r>
    </w:p>
    <w:p>
      <w:pPr>
        <w:pStyle w:val="Normal"/>
        <w:rPr/>
      </w:pPr>
      <w:r>
        <w:rPr/>
        <w:t xml:space="preserve">Enron Capital &amp; Trade Resources Canada Corp. (“Enron”) appreciates the opportunity to submit its final comments to PriceWaterhouse Coopers (the “IAT”) on issues related to the form of the Power Purchase Arrangements (“PPAs”) prior to the IAT filing its report with the AEUB setting out its PPA determinations. </w:t>
      </w:r>
    </w:p>
    <w:p>
      <w:pPr>
        <w:pStyle w:val="Normal"/>
        <w:rPr/>
      </w:pPr>
      <w:r>
        <w:rPr/>
      </w:r>
    </w:p>
    <w:p>
      <w:pPr>
        <w:pStyle w:val="Normal"/>
        <w:rPr/>
      </w:pPr>
      <w:r>
        <w:rPr/>
        <w:t>Enron’s comments on the specific issues identified below are intended to be consistent with three underlying principles or requirements that Enron believes must be reflected in the PPAs.  These are:</w:t>
      </w:r>
    </w:p>
    <w:p>
      <w:pPr>
        <w:pStyle w:val="Normal"/>
        <w:rPr/>
      </w:pPr>
      <w:r>
        <w:rPr/>
      </w:r>
    </w:p>
    <w:p>
      <w:pPr>
        <w:pStyle w:val="Normal"/>
        <w:numPr>
          <w:ilvl w:val="0"/>
          <w:numId w:val="2"/>
        </w:numPr>
        <w:rPr/>
      </w:pPr>
      <w:r>
        <w:rPr/>
        <w:t>The most efficient pricing of risk will result if the PPAs allocate risk to the party that is best positioned to manage it;</w:t>
      </w:r>
    </w:p>
    <w:p>
      <w:pPr>
        <w:pStyle w:val="Normal"/>
        <w:numPr>
          <w:ilvl w:val="0"/>
          <w:numId w:val="2"/>
        </w:numPr>
        <w:rPr/>
      </w:pPr>
      <w:r>
        <w:rPr/>
        <w:t>The gross impact of all incentives available to owners must be considered and modeled across different operational levels to ensure that the incentive mechanisms are reasonable and not susceptible to producing an unnecessarily high rate of return to the owners; and</w:t>
      </w:r>
    </w:p>
    <w:p>
      <w:pPr>
        <w:pStyle w:val="Normal"/>
        <w:numPr>
          <w:ilvl w:val="0"/>
          <w:numId w:val="2"/>
        </w:numPr>
        <w:rPr/>
      </w:pPr>
      <w:r>
        <w:rPr/>
        <w:t>The provisions governing the commercial arrangement between the owners, buyers, and the Balancing Pool should be as consistent as is reasonably possible given the nature of the PPAs with industry standard provisions for the purchase and sale of energy such as those found in a standard Master Firm Energy Purchase and Sale Agreement.  Appendix A to these comments is a copy of a precedent Master Firm Energy Purchase and Sale Agreement that is widely used by Enron Power Marketing, Inc. in the United States.</w:t>
      </w:r>
    </w:p>
    <w:p>
      <w:pPr>
        <w:pStyle w:val="Normal"/>
        <w:rPr/>
      </w:pPr>
      <w:r>
        <w:rPr/>
      </w:r>
    </w:p>
    <w:p>
      <w:pPr>
        <w:pStyle w:val="Normal"/>
        <w:rPr/>
      </w:pPr>
      <w:r>
        <w:rPr/>
        <w:t xml:space="preserve">The Government of Alberta and the Power Pool of Alberta are in the final stages of the process to implement physical bilateral contracting.  Therefore, all provisions of the draft form PPA that relate to the sale of the output by the buyer should reflect the fact that the output of the generation facilities may be sold either to the Power Pool or directly to a third party under a direct sales contract.  </w:t>
      </w:r>
    </w:p>
    <w:p>
      <w:pPr>
        <w:pStyle w:val="Normal"/>
        <w:rPr/>
      </w:pPr>
      <w:r>
        <w:rPr/>
      </w:r>
    </w:p>
    <w:p>
      <w:pPr>
        <w:pStyle w:val="Normal"/>
        <w:rPr/>
      </w:pPr>
      <w:r>
        <w:rPr/>
        <w:t xml:space="preserve">Enron understands the mandate of the IAT is to undertake the work required to make its determination in accordance with the </w:t>
      </w:r>
      <w:r>
        <w:rPr>
          <w:u w:val="single"/>
        </w:rPr>
        <w:t>Electric Utilities Act</w:t>
      </w:r>
      <w:r>
        <w:rPr/>
        <w:t xml:space="preserve"> such that issues related to the policy decision to proceed with a capacity auction are beyond the scope of that mandate.  Notwithstanding this, it is appropriate for Enron to provide clarity around the context in which these comments on the PPA form and previous comments submitted by Enron to the IAT on September 15, 1998 and November 6, 1998 have been made.  Enron’s preferred alternative to a capacity auction has always been to address stranded benefit recovery and market power issues in Alberta through a model that mandates the partial divestiture of generation assets by the incumbent utilities.   Enron’s views in this regard were articulated to the Alberta Department of Energy prior to its decision to proceed with a capacity auction.  Therefore, Enron’s submissions to the IAT on the form of the PPAs have been made in this context.  </w:t>
      </w:r>
    </w:p>
    <w:p>
      <w:pPr>
        <w:pStyle w:val="Normal"/>
        <w:rPr/>
      </w:pPr>
      <w:r>
        <w:rPr/>
      </w:r>
    </w:p>
    <w:p>
      <w:pPr>
        <w:pStyle w:val="Normal"/>
        <w:rPr/>
      </w:pPr>
      <w:r>
        <w:rPr/>
        <w:t xml:space="preserve">Enron’s comments on the draft form of PPA address a wide variety of important issues.  However, the IAT’s determination on four specific issues is expected to significantly influence Enron’s decision to participate in the auction.  Enron is hopeful that by separately identifying these four issues, the IAT will have the benefit of a clear understanding of the importance to Enron of a determination by the IAT that is consistent with Enron’s comments on each of these four issues.  The four issues are: </w:t>
      </w:r>
    </w:p>
    <w:p>
      <w:pPr>
        <w:pStyle w:val="Normal"/>
        <w:rPr/>
      </w:pPr>
      <w:r>
        <w:rPr/>
      </w:r>
    </w:p>
    <w:p>
      <w:pPr>
        <w:pStyle w:val="Normal"/>
        <w:numPr>
          <w:ilvl w:val="0"/>
          <w:numId w:val="6"/>
        </w:numPr>
        <w:rPr/>
      </w:pPr>
      <w:r>
        <w:rPr/>
        <w:t>Change in Law – bidders will simply not be able to accurately price change in law risk and therefore cannot be expected to bear it.  A more detailed description of Enron’s views in relation to this issue is provided below;</w:t>
      </w:r>
    </w:p>
    <w:p>
      <w:pPr>
        <w:pStyle w:val="Normal"/>
        <w:numPr>
          <w:ilvl w:val="0"/>
          <w:numId w:val="6"/>
        </w:numPr>
        <w:rPr/>
      </w:pPr>
      <w:r>
        <w:rPr/>
        <w:t>Force Majeure – events of Force Majeure must be restricted to matters outside the control of those parties that are subject to the terms of the PPA. A more detailed description of Enron’s views in relation to this issue is provided below;</w:t>
      </w:r>
    </w:p>
    <w:p>
      <w:pPr>
        <w:pStyle w:val="Normal"/>
        <w:numPr>
          <w:ilvl w:val="0"/>
          <w:numId w:val="6"/>
        </w:numPr>
        <w:rPr/>
      </w:pPr>
      <w:r>
        <w:rPr/>
        <w:t xml:space="preserve">Termination – the termination provisions must preserve any benefit the buyer may reasonably expect to derive from the PPA, with few exceptions.  A more detailed description of Enron’s views in relation to this issue is provided below. </w:t>
      </w:r>
    </w:p>
    <w:p>
      <w:pPr>
        <w:pStyle w:val="Normal"/>
        <w:numPr>
          <w:ilvl w:val="0"/>
          <w:numId w:val="6"/>
        </w:numPr>
        <w:rPr/>
      </w:pPr>
      <w:r>
        <w:rPr/>
        <w:t>Cancellation of the Auction – potential bidders must be provided with a commitment from the Government of Alberta that the auction will proceed.  Potential bidders must also be provided with a precise definition of what will constitute an “acceptable bid”.   This information must be communicated to potential bidders within a reasonable period prior to the auction to allow bidders to undertake their due diligence.</w:t>
      </w:r>
      <w:r>
        <w:br w:type="page"/>
      </w:r>
    </w:p>
    <w:p>
      <w:pPr>
        <w:pStyle w:val="Normal"/>
        <w:rPr>
          <w:b/>
          <w:u w:val="single"/>
        </w:rPr>
      </w:pPr>
      <w:r>
        <w:rPr>
          <w:b/>
          <w:u w:val="single"/>
        </w:rPr>
        <w:t>II. Draft Power Purchase Arrangement</w:t>
      </w:r>
    </w:p>
    <w:p>
      <w:pPr>
        <w:pStyle w:val="Normal"/>
        <w:rPr>
          <w:b/>
          <w:u w:val="single"/>
        </w:rPr>
      </w:pPr>
      <w:r>
        <w:rPr>
          <w:b/>
          <w:u w:val="single"/>
        </w:rPr>
      </w:r>
    </w:p>
    <w:p>
      <w:pPr>
        <w:pStyle w:val="Heading1"/>
        <w:ind w:hanging="0" w:start="0"/>
        <w:rPr/>
      </w:pPr>
      <w:r>
        <w:rPr/>
        <w:t>Article 2.2 – Excess Energy</w:t>
      </w:r>
    </w:p>
    <w:p>
      <w:pPr>
        <w:pStyle w:val="Department"/>
        <w:rPr>
          <w:rFonts w:ascii="Times New Roman" w:hAnsi="Times New Roman" w:cs="Times New Roman"/>
          <w:sz w:val="24"/>
        </w:rPr>
      </w:pPr>
      <w:r>
        <w:rPr>
          <w:rFonts w:cs="Times New Roman" w:ascii="Times New Roman" w:hAnsi="Times New Roman"/>
          <w:sz w:val="24"/>
        </w:rPr>
      </w:r>
    </w:p>
    <w:p>
      <w:pPr>
        <w:pStyle w:val="Department"/>
        <w:rPr>
          <w:rFonts w:ascii="Times New Roman" w:hAnsi="Times New Roman" w:cs="Times New Roman"/>
          <w:sz w:val="24"/>
        </w:rPr>
      </w:pPr>
      <w:r>
        <w:rPr>
          <w:rFonts w:cs="Times New Roman" w:ascii="Times New Roman" w:hAnsi="Times New Roman"/>
          <w:sz w:val="24"/>
        </w:rPr>
        <w:t xml:space="preserve">Enron has concerns with the use of language that provides the Owner with the right to the “benefit” of Excess Energy.  Pursuant to Section 3.4 of Schedule E the buyer is entitled to charge the owner an amount for the Excess Energy.  It may be argued that the “charge” does not represent a “benefit” to the buyer as it is intended to simply recompense the buyer for its efforts in relation to facilitating the sale of the Excess Energy.  It is Enron’s view that the buyer’s “charge” does represent a “benefit” and therefore Article 2.2, as drafted, is inconsistent with Schedule E.  </w:t>
      </w:r>
    </w:p>
    <w:p>
      <w:pPr>
        <w:pStyle w:val="Department"/>
        <w:rPr>
          <w:rFonts w:ascii="Times New Roman" w:hAnsi="Times New Roman" w:cs="Times New Roman"/>
          <w:sz w:val="24"/>
        </w:rPr>
      </w:pPr>
      <w:r>
        <w:rPr>
          <w:rFonts w:cs="Times New Roman" w:ascii="Times New Roman" w:hAnsi="Times New Roman"/>
          <w:sz w:val="24"/>
        </w:rPr>
      </w:r>
    </w:p>
    <w:p>
      <w:pPr>
        <w:pStyle w:val="Department"/>
        <w:rPr>
          <w:rFonts w:ascii="Times New Roman" w:hAnsi="Times New Roman" w:cs="Times New Roman"/>
          <w:sz w:val="24"/>
        </w:rPr>
      </w:pPr>
      <w:r>
        <w:rPr>
          <w:rFonts w:cs="Times New Roman" w:ascii="Times New Roman" w:hAnsi="Times New Roman"/>
          <w:sz w:val="24"/>
        </w:rPr>
        <w:t xml:space="preserve">Enron advocates a greater degree of sharing (i.e. 50%) of the benefits of Excess Energy sales between owners and customers based simply on the argument that consumers have contributed to the capital costs associated with each generation unit.   This sharing could be accomplished by apportioning a greater portion of the Excess Energy Payments received by the owner, net of the owners’ costs, between the owner and the buyer.  The extent to which buyers are provided with a greater portion of this value will be reflected in higher level bids for the PPAs.  </w:t>
      </w:r>
    </w:p>
    <w:p>
      <w:pPr>
        <w:pStyle w:val="Department"/>
        <w:rPr>
          <w:rFonts w:ascii="Times New Roman" w:hAnsi="Times New Roman" w:cs="Times New Roman"/>
          <w:sz w:val="24"/>
        </w:rPr>
      </w:pPr>
      <w:r>
        <w:rPr>
          <w:rFonts w:cs="Times New Roman" w:ascii="Times New Roman" w:hAnsi="Times New Roman"/>
          <w:sz w:val="24"/>
        </w:rPr>
      </w:r>
    </w:p>
    <w:p>
      <w:pPr>
        <w:pStyle w:val="Department"/>
        <w:rPr>
          <w:rFonts w:ascii="Times New Roman" w:hAnsi="Times New Roman" w:cs="Times New Roman"/>
          <w:b/>
          <w:sz w:val="24"/>
          <w:u w:val="single"/>
        </w:rPr>
      </w:pPr>
      <w:r>
        <w:rPr>
          <w:rFonts w:cs="Times New Roman" w:ascii="Times New Roman" w:hAnsi="Times New Roman"/>
          <w:b/>
          <w:sz w:val="24"/>
          <w:u w:val="single"/>
        </w:rPr>
        <w:t xml:space="preserve">Article 4.2 - General Provisions Regarding Indices and Schedules  </w:t>
      </w:r>
    </w:p>
    <w:p>
      <w:pPr>
        <w:pStyle w:val="Department"/>
        <w:rPr>
          <w:rFonts w:ascii="Times New Roman" w:hAnsi="Times New Roman" w:cs="Times New Roman"/>
          <w:b/>
          <w:sz w:val="24"/>
          <w:u w:val="single"/>
        </w:rPr>
      </w:pPr>
      <w:r>
        <w:rPr>
          <w:rFonts w:cs="Times New Roman" w:ascii="Times New Roman" w:hAnsi="Times New Roman"/>
          <w:b/>
          <w:sz w:val="24"/>
          <w:u w:val="single"/>
        </w:rPr>
      </w:r>
    </w:p>
    <w:p>
      <w:pPr>
        <w:pStyle w:val="Department"/>
        <w:rPr>
          <w:rFonts w:ascii="Times New Roman" w:hAnsi="Times New Roman" w:cs="Times New Roman"/>
          <w:sz w:val="24"/>
        </w:rPr>
      </w:pPr>
      <w:r>
        <w:rPr>
          <w:rFonts w:cs="Times New Roman" w:ascii="Times New Roman" w:hAnsi="Times New Roman"/>
          <w:sz w:val="24"/>
        </w:rPr>
        <w:t xml:space="preserve">Enron does not support the requirement in subsection (a) that the parties use the replacement index that is established by the person responsible for the original index.  Enron prefers a model that affords the parties the flexibility, in all cases where an index ceases to exist, to endeavor to agree on a replacement index.  Failing agreement, it is appropriate that the provisions in Article 19 should apply. </w:t>
      </w:r>
    </w:p>
    <w:p>
      <w:pPr>
        <w:pStyle w:val="Department"/>
        <w:rPr>
          <w:rFonts w:ascii="Times New Roman" w:hAnsi="Times New Roman" w:cs="Times New Roman"/>
          <w:sz w:val="24"/>
        </w:rPr>
      </w:pPr>
      <w:r>
        <w:rPr>
          <w:rFonts w:cs="Times New Roman" w:ascii="Times New Roman" w:hAnsi="Times New Roman"/>
          <w:sz w:val="24"/>
        </w:rPr>
      </w:r>
    </w:p>
    <w:p>
      <w:pPr>
        <w:pStyle w:val="Department"/>
        <w:rPr>
          <w:rFonts w:ascii="Times New Roman" w:hAnsi="Times New Roman" w:cs="Times New Roman"/>
          <w:b/>
          <w:sz w:val="24"/>
          <w:u w:val="single"/>
        </w:rPr>
      </w:pPr>
      <w:r>
        <w:rPr>
          <w:rFonts w:cs="Times New Roman" w:ascii="Times New Roman" w:hAnsi="Times New Roman"/>
          <w:b/>
          <w:sz w:val="24"/>
          <w:u w:val="single"/>
        </w:rPr>
        <w:t>Article 4.3 – Change in Law</w:t>
      </w:r>
    </w:p>
    <w:p>
      <w:pPr>
        <w:pStyle w:val="Department"/>
        <w:rPr>
          <w:rFonts w:ascii="Times New Roman" w:hAnsi="Times New Roman" w:cs="Times New Roman"/>
          <w:b/>
          <w:sz w:val="24"/>
          <w:u w:val="single"/>
        </w:rPr>
      </w:pPr>
      <w:r>
        <w:rPr>
          <w:rFonts w:cs="Times New Roman" w:ascii="Times New Roman" w:hAnsi="Times New Roman"/>
          <w:b/>
          <w:sz w:val="24"/>
          <w:u w:val="single"/>
        </w:rPr>
      </w:r>
    </w:p>
    <w:p>
      <w:pPr>
        <w:pStyle w:val="Department"/>
        <w:rPr>
          <w:rFonts w:ascii="Times New Roman" w:hAnsi="Times New Roman" w:cs="Times New Roman"/>
          <w:sz w:val="24"/>
        </w:rPr>
      </w:pPr>
      <w:r>
        <w:rPr>
          <w:rFonts w:cs="Times New Roman" w:ascii="Times New Roman" w:hAnsi="Times New Roman"/>
          <w:sz w:val="24"/>
        </w:rPr>
        <w:t xml:space="preserve">Enron appreciates that the allocation of the risk associated with a change in law is a difficult issue because, unlike the other risks borne by each party to the PPA, no one party can be said to have the ability to control or manage this risk.  Enron understands the IAT’s initial thoughts on this issue were to allocate this risk entirely to buyers on the basis that the buyers could manage this risk by discounting their bids to reflect the cost of the risk.  The problem with this assumption is that buyers would have great difficulty pricing this risk and therefore the PPAs would be less appealing to potential bidders.  Although discounting is certain to occur, uncertainty around pricing this risk would also lead to a wide range in the level of discounting between different buyers depending on their respective assessments of the political landscape in Alberta and Canada.  This may lead to competition in the bidding process that is driven more by the assessment of this intangible risk than on more tangible factors such as fixed and variable operation costs.    </w:t>
      </w:r>
    </w:p>
    <w:p>
      <w:pPr>
        <w:pStyle w:val="Department"/>
        <w:rPr>
          <w:rFonts w:ascii="Times New Roman" w:hAnsi="Times New Roman" w:cs="Times New Roman"/>
          <w:sz w:val="24"/>
        </w:rPr>
      </w:pPr>
      <w:r>
        <w:rPr>
          <w:rFonts w:cs="Times New Roman" w:ascii="Times New Roman" w:hAnsi="Times New Roman"/>
          <w:sz w:val="24"/>
        </w:rPr>
      </w:r>
    </w:p>
    <w:p>
      <w:pPr>
        <w:pStyle w:val="Department"/>
        <w:rPr>
          <w:rFonts w:ascii="Times New Roman" w:hAnsi="Times New Roman" w:cs="Times New Roman"/>
          <w:sz w:val="24"/>
        </w:rPr>
      </w:pPr>
      <w:r>
        <w:rPr>
          <w:rFonts w:cs="Times New Roman" w:ascii="Times New Roman" w:hAnsi="Times New Roman"/>
          <w:sz w:val="24"/>
        </w:rPr>
        <w:t xml:space="preserve">In its Discussion Paper on the PPA “Backstop” Role of the Balancing Pool, the IAT articulated its more recent thinking on this issue in which it indicated a willingness to consider allocating some change in law risk to customers.  Enron is encouraged by the IAT’s recognition of problems inherent in allocating the change in law risk to buyers but the draft PPA does not go far enough. </w:t>
      </w:r>
    </w:p>
    <w:p>
      <w:pPr>
        <w:pStyle w:val="Department"/>
        <w:rPr>
          <w:rFonts w:ascii="Times New Roman" w:hAnsi="Times New Roman" w:cs="Times New Roman"/>
          <w:sz w:val="24"/>
        </w:rPr>
      </w:pPr>
      <w:r>
        <w:rPr>
          <w:rFonts w:cs="Times New Roman" w:ascii="Times New Roman" w:hAnsi="Times New Roman"/>
          <w:sz w:val="24"/>
        </w:rPr>
      </w:r>
    </w:p>
    <w:p>
      <w:pPr>
        <w:pStyle w:val="Department"/>
        <w:rPr>
          <w:rFonts w:ascii="Times New Roman" w:hAnsi="Times New Roman" w:cs="Times New Roman"/>
          <w:sz w:val="24"/>
        </w:rPr>
      </w:pPr>
      <w:r>
        <w:rPr>
          <w:rFonts w:cs="Times New Roman" w:ascii="Times New Roman" w:hAnsi="Times New Roman"/>
          <w:sz w:val="24"/>
        </w:rPr>
        <w:t xml:space="preserve">Enron advocates the allocation of change in law risk to the Balancing Pool.  This allocation is consistent with the current regulatory regime.  It is also consistent with the Government of Alberta’s policy position that under deregulation, Alberta customers will continue to share the costs and benefits of Alberta’s low-cost regulated generation.  One of these costs is the potential impact of a change in law on the value of the regulated assets.  </w:t>
      </w:r>
    </w:p>
    <w:p>
      <w:pPr>
        <w:pStyle w:val="Department"/>
        <w:rPr>
          <w:rFonts w:ascii="Times New Roman" w:hAnsi="Times New Roman" w:cs="Times New Roman"/>
          <w:sz w:val="24"/>
        </w:rPr>
      </w:pPr>
      <w:r>
        <w:rPr>
          <w:rFonts w:cs="Times New Roman" w:ascii="Times New Roman" w:hAnsi="Times New Roman"/>
          <w:sz w:val="24"/>
        </w:rPr>
      </w:r>
    </w:p>
    <w:p>
      <w:pPr>
        <w:pStyle w:val="Department"/>
        <w:rPr>
          <w:rFonts w:ascii="Times New Roman" w:hAnsi="Times New Roman" w:cs="Times New Roman"/>
          <w:sz w:val="24"/>
        </w:rPr>
      </w:pPr>
      <w:r>
        <w:rPr>
          <w:rFonts w:cs="Times New Roman" w:ascii="Times New Roman" w:hAnsi="Times New Roman"/>
          <w:sz w:val="24"/>
        </w:rPr>
        <w:t>This issue must also be considered from the perspective of the buyer’s ability to influence a change in law.  Under a capacity sale model the buyer simply holds a PPA that can be re-auctioned by the Balancing Pool if the PPA is terminated.  Therefore, the buyer possesses minimal leverage with the different levels of government.  On the other hand, under an asset sale model the buyer would own the physical asset and directly employ Albertans to manage and operate the facility.   It is Enron’s assessment that a considerably higher level of influence in relation to a change in law would accompany the latter model such that the sharing of change in law risk between buyers and customers would be acceptable under an asset sale scenario.  It is not, however, acceptable in the context of a capacity auction model.</w:t>
      </w:r>
    </w:p>
    <w:p>
      <w:pPr>
        <w:pStyle w:val="Department"/>
        <w:rPr>
          <w:rFonts w:ascii="Times New Roman" w:hAnsi="Times New Roman" w:cs="Times New Roman"/>
          <w:sz w:val="24"/>
        </w:rPr>
      </w:pPr>
      <w:r>
        <w:rPr>
          <w:rFonts w:cs="Times New Roman" w:ascii="Times New Roman" w:hAnsi="Times New Roman"/>
          <w:sz w:val="24"/>
        </w:rPr>
      </w:r>
    </w:p>
    <w:p>
      <w:pPr>
        <w:pStyle w:val="Department"/>
        <w:rPr>
          <w:rFonts w:ascii="Times New Roman" w:hAnsi="Times New Roman" w:cs="Times New Roman"/>
          <w:sz w:val="24"/>
        </w:rPr>
      </w:pPr>
      <w:r>
        <w:rPr>
          <w:rFonts w:cs="Times New Roman" w:ascii="Times New Roman" w:hAnsi="Times New Roman"/>
          <w:sz w:val="24"/>
        </w:rPr>
        <w:t xml:space="preserve">Enron advocates a model that could include many of the same processes as those outlined in Section 4.3 of the draft PPA.  Upon a change in law occurring that requires some threshold level of additional capital expenditure by the owner, both the owner and the buyer would have the right to terminate the PPA.  If the PPA were terminated, the Balancing Pool would assume the original obligations of the buyer and the owner will continue to recover its fixed costs for the duration of the base life.  The buyer would be relieved of its obligations under the PPA and receive the greater of $0 and the NPV (defined below) from the Balancing Pool.  </w:t>
      </w:r>
    </w:p>
    <w:p>
      <w:pPr>
        <w:pStyle w:val="Department"/>
        <w:rPr>
          <w:rFonts w:ascii="Times New Roman" w:hAnsi="Times New Roman" w:cs="Times New Roman"/>
          <w:sz w:val="24"/>
        </w:rPr>
      </w:pPr>
      <w:r>
        <w:rPr>
          <w:rFonts w:cs="Times New Roman" w:ascii="Times New Roman" w:hAnsi="Times New Roman"/>
          <w:sz w:val="24"/>
        </w:rPr>
      </w:r>
    </w:p>
    <w:p>
      <w:pPr>
        <w:pStyle w:val="Department"/>
        <w:rPr>
          <w:rFonts w:ascii="Times New Roman" w:hAnsi="Times New Roman" w:cs="Times New Roman"/>
          <w:sz w:val="24"/>
        </w:rPr>
      </w:pPr>
      <w:r>
        <w:rPr>
          <w:rFonts w:cs="Times New Roman" w:ascii="Times New Roman" w:hAnsi="Times New Roman"/>
          <w:sz w:val="24"/>
        </w:rPr>
        <w:t xml:space="preserve">If the owner elects to incur the incremental costs associated with complying with a change in law then the buyer may agree to pay some or all of these costs by way of a separate contractual agreement between the owner and the buyer.  If this occurs then the PPA would continue and be complemented by this contractual agreement between the owner and the buyer.  The important point here is that the Balancing Pool would not assume the risk of, or have the obligation to pay for, any additional costs.  </w:t>
      </w:r>
    </w:p>
    <w:p>
      <w:pPr>
        <w:pStyle w:val="Department"/>
        <w:rPr>
          <w:rFonts w:ascii="Times New Roman" w:hAnsi="Times New Roman" w:cs="Times New Roman"/>
          <w:sz w:val="24"/>
        </w:rPr>
      </w:pPr>
      <w:r>
        <w:rPr>
          <w:rFonts w:cs="Times New Roman" w:ascii="Times New Roman" w:hAnsi="Times New Roman"/>
          <w:sz w:val="24"/>
        </w:rPr>
      </w:r>
    </w:p>
    <w:p>
      <w:pPr>
        <w:pStyle w:val="Department"/>
        <w:rPr>
          <w:rFonts w:ascii="Times New Roman" w:hAnsi="Times New Roman" w:cs="Times New Roman"/>
          <w:sz w:val="24"/>
        </w:rPr>
      </w:pPr>
      <w:r>
        <w:rPr>
          <w:rFonts w:cs="Times New Roman" w:ascii="Times New Roman" w:hAnsi="Times New Roman"/>
          <w:sz w:val="24"/>
        </w:rPr>
        <w:t xml:space="preserve">If the owner elects to incur the incremental costs and the buyer does not wish to participate, then the buyer would again be kept whole and the Balancing Pool would re-auction the PPA.  The same reservation payment that applied at the time of the original auction would be pro-rated to reflect the balance of the Base Life remaining but would otherwise not be amended.  Again, the intent behind this is to protect the Balancing Pool from exposure to any additional stranded costs. </w:t>
      </w:r>
    </w:p>
    <w:p>
      <w:pPr>
        <w:pStyle w:val="Department"/>
        <w:rPr>
          <w:rFonts w:ascii="Times New Roman" w:hAnsi="Times New Roman" w:cs="Times New Roman"/>
          <w:sz w:val="24"/>
        </w:rPr>
      </w:pPr>
      <w:r>
        <w:rPr>
          <w:rFonts w:cs="Times New Roman" w:ascii="Times New Roman" w:hAnsi="Times New Roman"/>
          <w:sz w:val="24"/>
        </w:rPr>
      </w:r>
    </w:p>
    <w:p>
      <w:pPr>
        <w:pStyle w:val="Department"/>
        <w:rPr>
          <w:rFonts w:ascii="Times New Roman" w:hAnsi="Times New Roman" w:cs="Times New Roman"/>
          <w:sz w:val="24"/>
        </w:rPr>
      </w:pPr>
      <w:r>
        <w:rPr>
          <w:rFonts w:cs="Times New Roman" w:ascii="Times New Roman" w:hAnsi="Times New Roman"/>
          <w:sz w:val="24"/>
        </w:rPr>
        <w:t>Enron’s views on the methodology that should be employed to calculate a termination payment triggered by a change in law are addressed below.</w:t>
      </w:r>
    </w:p>
    <w:p>
      <w:pPr>
        <w:pStyle w:val="Department"/>
        <w:rPr>
          <w:rFonts w:ascii="Times New Roman" w:hAnsi="Times New Roman" w:cs="Times New Roman"/>
          <w:sz w:val="24"/>
        </w:rPr>
      </w:pPr>
      <w:r>
        <w:rPr>
          <w:rFonts w:cs="Times New Roman" w:ascii="Times New Roman" w:hAnsi="Times New Roman"/>
          <w:sz w:val="24"/>
        </w:rPr>
      </w:r>
    </w:p>
    <w:p>
      <w:pPr>
        <w:pStyle w:val="Department"/>
        <w:rPr>
          <w:rFonts w:ascii="Times New Roman" w:hAnsi="Times New Roman" w:cs="Times New Roman"/>
          <w:b/>
          <w:sz w:val="24"/>
          <w:u w:val="single"/>
        </w:rPr>
      </w:pPr>
      <w:r>
        <w:rPr>
          <w:rFonts w:cs="Times New Roman" w:ascii="Times New Roman" w:hAnsi="Times New Roman"/>
          <w:b/>
          <w:sz w:val="24"/>
          <w:u w:val="single"/>
        </w:rPr>
        <w:t xml:space="preserve">Article 5.1  - Planned Outage Periods </w:t>
      </w:r>
    </w:p>
    <w:p>
      <w:pPr>
        <w:pStyle w:val="Department"/>
        <w:rPr>
          <w:rFonts w:ascii="Times New Roman" w:hAnsi="Times New Roman" w:cs="Times New Roman"/>
          <w:b/>
          <w:sz w:val="24"/>
          <w:u w:val="single"/>
        </w:rPr>
      </w:pPr>
      <w:r>
        <w:rPr>
          <w:rFonts w:cs="Times New Roman" w:ascii="Times New Roman" w:hAnsi="Times New Roman"/>
          <w:b/>
          <w:sz w:val="24"/>
          <w:u w:val="single"/>
        </w:rPr>
      </w:r>
    </w:p>
    <w:p>
      <w:pPr>
        <w:pStyle w:val="Department"/>
        <w:rPr>
          <w:rFonts w:ascii="Times New Roman" w:hAnsi="Times New Roman" w:cs="Times New Roman"/>
          <w:sz w:val="24"/>
        </w:rPr>
      </w:pPr>
      <w:r>
        <w:rPr>
          <w:rFonts w:cs="Times New Roman" w:ascii="Times New Roman" w:hAnsi="Times New Roman"/>
          <w:sz w:val="24"/>
        </w:rPr>
        <w:t xml:space="preserve">Enron is supportive of the IAT’s decision to move away from the Outage Budget concept and provide for outage-based incentives in the Target Availability formula contained in Schedule C. </w:t>
      </w:r>
    </w:p>
    <w:p>
      <w:pPr>
        <w:pStyle w:val="Department"/>
        <w:rPr>
          <w:rFonts w:ascii="Times New Roman" w:hAnsi="Times New Roman" w:cs="Times New Roman"/>
          <w:sz w:val="24"/>
        </w:rPr>
      </w:pPr>
      <w:r>
        <w:rPr>
          <w:rFonts w:cs="Times New Roman" w:ascii="Times New Roman" w:hAnsi="Times New Roman"/>
          <w:sz w:val="24"/>
        </w:rPr>
      </w:r>
    </w:p>
    <w:p>
      <w:pPr>
        <w:pStyle w:val="Department"/>
        <w:rPr>
          <w:rFonts w:ascii="Times New Roman" w:hAnsi="Times New Roman" w:cs="Times New Roman"/>
          <w:sz w:val="24"/>
        </w:rPr>
      </w:pPr>
      <w:r>
        <w:rPr>
          <w:rFonts w:cs="Times New Roman" w:ascii="Times New Roman" w:hAnsi="Times New Roman"/>
          <w:sz w:val="24"/>
        </w:rPr>
        <w:t xml:space="preserve">Enron supports the planned outage model described in the current draft PPA that requires the owner to provide the buyer with reasonable notice of planned outages and to work with the buyer to accommodate the buyer’s needs respecting possible amendments to the Initial Outage Plan.   </w:t>
      </w:r>
    </w:p>
    <w:p>
      <w:pPr>
        <w:pStyle w:val="Department"/>
        <w:rPr>
          <w:rFonts w:ascii="Times New Roman" w:hAnsi="Times New Roman" w:cs="Times New Roman"/>
          <w:sz w:val="24"/>
        </w:rPr>
      </w:pPr>
      <w:r>
        <w:rPr>
          <w:rFonts w:cs="Times New Roman" w:ascii="Times New Roman" w:hAnsi="Times New Roman"/>
          <w:sz w:val="24"/>
        </w:rPr>
      </w:r>
    </w:p>
    <w:p>
      <w:pPr>
        <w:pStyle w:val="Department"/>
        <w:rPr>
          <w:rFonts w:ascii="Times New Roman" w:hAnsi="Times New Roman" w:cs="Times New Roman"/>
          <w:b/>
          <w:sz w:val="24"/>
          <w:u w:val="single"/>
        </w:rPr>
      </w:pPr>
      <w:r>
        <w:rPr>
          <w:rFonts w:cs="Times New Roman" w:ascii="Times New Roman" w:hAnsi="Times New Roman"/>
          <w:b/>
          <w:sz w:val="24"/>
          <w:u w:val="single"/>
        </w:rPr>
        <w:t>Article 5.2 – Interruption of Supply</w:t>
      </w:r>
    </w:p>
    <w:p>
      <w:pPr>
        <w:pStyle w:val="Department"/>
        <w:rPr>
          <w:rFonts w:ascii="Times New Roman" w:hAnsi="Times New Roman" w:cs="Times New Roman"/>
          <w:b/>
          <w:sz w:val="24"/>
          <w:u w:val="single"/>
        </w:rPr>
      </w:pPr>
      <w:r>
        <w:rPr>
          <w:rFonts w:cs="Times New Roman" w:ascii="Times New Roman" w:hAnsi="Times New Roman"/>
          <w:b/>
          <w:sz w:val="24"/>
          <w:u w:val="single"/>
        </w:rPr>
      </w:r>
    </w:p>
    <w:p>
      <w:pPr>
        <w:pStyle w:val="Department"/>
        <w:rPr>
          <w:rFonts w:ascii="Times New Roman" w:hAnsi="Times New Roman" w:cs="Times New Roman"/>
          <w:sz w:val="24"/>
        </w:rPr>
      </w:pPr>
      <w:r>
        <w:rPr>
          <w:rFonts w:cs="Times New Roman" w:ascii="Times New Roman" w:hAnsi="Times New Roman"/>
          <w:sz w:val="24"/>
        </w:rPr>
        <w:t xml:space="preserve">Enron supports the owner’s right to interrupt supply from any unit at any time for safety reasons but does not agree that the buyer should assume the financial risk associated with this type of interruption.  Enron is of the view that during periods of safety related supply interruptions the incentive payment mechanisms in the PPA should continue to operate.  This is consistent with the fact that any such supply interruptions are either foreseeable or controllable by the owner.  They are certainly not within the control of the buyer.  </w:t>
      </w:r>
    </w:p>
    <w:p>
      <w:pPr>
        <w:pStyle w:val="Department"/>
        <w:rPr>
          <w:rFonts w:ascii="Times New Roman" w:hAnsi="Times New Roman" w:cs="Times New Roman"/>
          <w:sz w:val="24"/>
        </w:rPr>
      </w:pPr>
      <w:r>
        <w:rPr>
          <w:rFonts w:cs="Times New Roman" w:ascii="Times New Roman" w:hAnsi="Times New Roman"/>
          <w:sz w:val="24"/>
        </w:rPr>
      </w:r>
    </w:p>
    <w:p>
      <w:pPr>
        <w:pStyle w:val="Department"/>
        <w:rPr>
          <w:rFonts w:ascii="Times New Roman" w:hAnsi="Times New Roman" w:cs="Times New Roman"/>
          <w:sz w:val="24"/>
        </w:rPr>
      </w:pPr>
      <w:r>
        <w:rPr>
          <w:rFonts w:cs="Times New Roman" w:ascii="Times New Roman" w:hAnsi="Times New Roman"/>
          <w:sz w:val="24"/>
        </w:rPr>
        <w:t xml:space="preserve">To the extent that an interruption of supply is due to a Force Majeure event then both the owner and the buyer will be afforded some degree of financial protection under the Force Majeure provisions.  </w:t>
      </w:r>
    </w:p>
    <w:p>
      <w:pPr>
        <w:pStyle w:val="Department"/>
        <w:rPr>
          <w:rFonts w:ascii="Times New Roman" w:hAnsi="Times New Roman" w:cs="Times New Roman"/>
          <w:sz w:val="24"/>
        </w:rPr>
      </w:pPr>
      <w:r>
        <w:rPr>
          <w:rFonts w:cs="Times New Roman" w:ascii="Times New Roman" w:hAnsi="Times New Roman"/>
          <w:sz w:val="24"/>
        </w:rPr>
      </w:r>
    </w:p>
    <w:p>
      <w:pPr>
        <w:pStyle w:val="Department"/>
        <w:rPr>
          <w:rFonts w:ascii="Times New Roman" w:hAnsi="Times New Roman" w:cs="Times New Roman"/>
          <w:b/>
          <w:sz w:val="24"/>
          <w:u w:val="single"/>
        </w:rPr>
      </w:pPr>
      <w:r>
        <w:rPr>
          <w:rFonts w:cs="Times New Roman" w:ascii="Times New Roman" w:hAnsi="Times New Roman"/>
          <w:b/>
          <w:sz w:val="24"/>
          <w:u w:val="single"/>
        </w:rPr>
        <w:t>Article 5.4 – Suspension of Transmission</w:t>
      </w:r>
    </w:p>
    <w:p>
      <w:pPr>
        <w:pStyle w:val="Department"/>
        <w:rPr>
          <w:rFonts w:ascii="Times New Roman" w:hAnsi="Times New Roman" w:cs="Times New Roman"/>
          <w:b/>
          <w:sz w:val="24"/>
          <w:u w:val="single"/>
        </w:rPr>
      </w:pPr>
      <w:r>
        <w:rPr>
          <w:rFonts w:cs="Times New Roman" w:ascii="Times New Roman" w:hAnsi="Times New Roman"/>
          <w:b/>
          <w:sz w:val="24"/>
          <w:u w:val="single"/>
        </w:rPr>
      </w:r>
    </w:p>
    <w:p>
      <w:pPr>
        <w:pStyle w:val="Department"/>
        <w:rPr>
          <w:rFonts w:ascii="Times New Roman" w:hAnsi="Times New Roman" w:cs="Times New Roman"/>
          <w:sz w:val="24"/>
        </w:rPr>
      </w:pPr>
      <w:r>
        <w:rPr>
          <w:rFonts w:cs="Times New Roman" w:ascii="Times New Roman" w:hAnsi="Times New Roman"/>
          <w:sz w:val="24"/>
        </w:rPr>
        <w:t xml:space="preserve">Enron has provided comments on the issue of Force Majeure in its submissions on Article 14.1 – Force Majeure below.  For the purpose of this section, it is sufficient to say that Enron does not support the use of Force Majeure as a default mechanism in the event of adverse transmission conditions.  </w:t>
      </w:r>
    </w:p>
    <w:p>
      <w:pPr>
        <w:pStyle w:val="Department"/>
        <w:rPr>
          <w:rFonts w:ascii="Times New Roman" w:hAnsi="Times New Roman" w:cs="Times New Roman"/>
          <w:sz w:val="24"/>
        </w:rPr>
      </w:pPr>
      <w:r>
        <w:rPr>
          <w:rFonts w:cs="Times New Roman" w:ascii="Times New Roman" w:hAnsi="Times New Roman"/>
          <w:sz w:val="24"/>
        </w:rPr>
      </w:r>
    </w:p>
    <w:p>
      <w:pPr>
        <w:pStyle w:val="Department"/>
        <w:rPr>
          <w:rFonts w:ascii="Times New Roman" w:hAnsi="Times New Roman" w:cs="Times New Roman"/>
          <w:sz w:val="24"/>
        </w:rPr>
      </w:pPr>
      <w:r>
        <w:rPr>
          <w:rFonts w:cs="Times New Roman" w:ascii="Times New Roman" w:hAnsi="Times New Roman"/>
          <w:sz w:val="24"/>
        </w:rPr>
        <w:t xml:space="preserve">In the event the owner is required to suspend provision of Generation Services due to transmission conditions and Dispatch Instructions, it is appropriate to allow the owner to do so without negatively impacting the calculation of its availability incentives.  It should be the buyer’s responsibility to seek to recover its opportunity cost associated with these events from the Transmission Administrator. </w:t>
      </w:r>
    </w:p>
    <w:p>
      <w:pPr>
        <w:pStyle w:val="Department"/>
        <w:rPr>
          <w:rFonts w:ascii="Times New Roman" w:hAnsi="Times New Roman" w:cs="Times New Roman"/>
          <w:sz w:val="24"/>
        </w:rPr>
      </w:pPr>
      <w:r>
        <w:rPr>
          <w:rFonts w:cs="Times New Roman" w:ascii="Times New Roman" w:hAnsi="Times New Roman"/>
          <w:sz w:val="24"/>
        </w:rPr>
      </w:r>
    </w:p>
    <w:p>
      <w:pPr>
        <w:pStyle w:val="Department"/>
        <w:rPr>
          <w:rFonts w:ascii="Times New Roman" w:hAnsi="Times New Roman" w:cs="Times New Roman"/>
          <w:b/>
          <w:sz w:val="24"/>
          <w:u w:val="single"/>
        </w:rPr>
      </w:pPr>
      <w:r>
        <w:rPr>
          <w:rFonts w:cs="Times New Roman" w:ascii="Times New Roman" w:hAnsi="Times New Roman"/>
          <w:b/>
          <w:sz w:val="24"/>
          <w:u w:val="single"/>
        </w:rPr>
        <w:t>Article 14.1 – Force Majeure</w:t>
      </w:r>
    </w:p>
    <w:p>
      <w:pPr>
        <w:pStyle w:val="Department"/>
        <w:rPr>
          <w:rFonts w:ascii="Times New Roman" w:hAnsi="Times New Roman" w:cs="Times New Roman"/>
          <w:b/>
          <w:sz w:val="24"/>
          <w:u w:val="single"/>
        </w:rPr>
      </w:pPr>
      <w:r>
        <w:rPr>
          <w:rFonts w:cs="Times New Roman" w:ascii="Times New Roman" w:hAnsi="Times New Roman"/>
          <w:b/>
          <w:sz w:val="24"/>
          <w:u w:val="single"/>
        </w:rPr>
      </w:r>
    </w:p>
    <w:p>
      <w:pPr>
        <w:pStyle w:val="Department"/>
        <w:rPr>
          <w:rFonts w:ascii="Times New Roman" w:hAnsi="Times New Roman" w:cs="Times New Roman"/>
          <w:sz w:val="24"/>
        </w:rPr>
      </w:pPr>
      <w:r>
        <w:rPr>
          <w:rFonts w:cs="Times New Roman" w:ascii="Times New Roman" w:hAnsi="Times New Roman"/>
          <w:sz w:val="24"/>
        </w:rPr>
        <w:t xml:space="preserve">Enron’s perspective on the issue of Force Majeure is that the PPA must limit the availability of Force Majeure to a very clear and limited class of events that: </w:t>
      </w:r>
    </w:p>
    <w:p>
      <w:pPr>
        <w:pStyle w:val="Department"/>
        <w:rPr>
          <w:rFonts w:ascii="Times New Roman" w:hAnsi="Times New Roman" w:cs="Times New Roman"/>
          <w:sz w:val="24"/>
        </w:rPr>
      </w:pPr>
      <w:r>
        <w:rPr>
          <w:rFonts w:cs="Times New Roman" w:ascii="Times New Roman" w:hAnsi="Times New Roman"/>
          <w:sz w:val="24"/>
        </w:rPr>
      </w:r>
    </w:p>
    <w:p>
      <w:pPr>
        <w:pStyle w:val="Department"/>
        <w:numPr>
          <w:ilvl w:val="0"/>
          <w:numId w:val="3"/>
        </w:numPr>
        <w:rPr>
          <w:rFonts w:ascii="Times New Roman" w:hAnsi="Times New Roman" w:cs="Times New Roman"/>
          <w:sz w:val="24"/>
        </w:rPr>
      </w:pPr>
      <w:r>
        <w:rPr>
          <w:rFonts w:cs="Times New Roman" w:ascii="Times New Roman" w:hAnsi="Times New Roman"/>
          <w:sz w:val="24"/>
        </w:rPr>
        <w:t xml:space="preserve">Are not anticipated as of the date of the PPA; </w:t>
      </w:r>
    </w:p>
    <w:p>
      <w:pPr>
        <w:pStyle w:val="Department"/>
        <w:numPr>
          <w:ilvl w:val="0"/>
          <w:numId w:val="3"/>
        </w:numPr>
        <w:rPr>
          <w:rFonts w:ascii="Times New Roman" w:hAnsi="Times New Roman" w:cs="Times New Roman"/>
          <w:sz w:val="24"/>
        </w:rPr>
      </w:pPr>
      <w:r>
        <w:rPr>
          <w:rFonts w:cs="Times New Roman" w:ascii="Times New Roman" w:hAnsi="Times New Roman"/>
          <w:sz w:val="24"/>
        </w:rPr>
        <w:t>Are not within the reasonable control of either party; and/or</w:t>
      </w:r>
    </w:p>
    <w:p>
      <w:pPr>
        <w:pStyle w:val="Department"/>
        <w:numPr>
          <w:ilvl w:val="0"/>
          <w:numId w:val="3"/>
        </w:numPr>
        <w:rPr>
          <w:rFonts w:ascii="Times New Roman" w:hAnsi="Times New Roman" w:cs="Times New Roman"/>
          <w:sz w:val="24"/>
        </w:rPr>
      </w:pPr>
      <w:r>
        <w:rPr>
          <w:rFonts w:cs="Times New Roman" w:ascii="Times New Roman" w:hAnsi="Times New Roman"/>
          <w:sz w:val="24"/>
        </w:rPr>
        <w:t xml:space="preserve">Which by the exercise of due diligence the claiming party is unable to remedy or overcome in a timely manner.   </w:t>
      </w:r>
    </w:p>
    <w:p>
      <w:pPr>
        <w:pStyle w:val="Department"/>
        <w:rPr>
          <w:rFonts w:ascii="Times New Roman" w:hAnsi="Times New Roman" w:cs="Times New Roman"/>
          <w:sz w:val="24"/>
        </w:rPr>
      </w:pPr>
      <w:r>
        <w:rPr>
          <w:rFonts w:cs="Times New Roman" w:ascii="Times New Roman" w:hAnsi="Times New Roman"/>
          <w:sz w:val="24"/>
        </w:rPr>
      </w:r>
    </w:p>
    <w:p>
      <w:pPr>
        <w:pStyle w:val="Department"/>
        <w:rPr>
          <w:rFonts w:ascii="Times New Roman" w:hAnsi="Times New Roman" w:cs="Times New Roman"/>
          <w:sz w:val="24"/>
        </w:rPr>
      </w:pPr>
      <w:r>
        <w:rPr>
          <w:rFonts w:cs="Times New Roman" w:ascii="Times New Roman" w:hAnsi="Times New Roman"/>
          <w:sz w:val="24"/>
        </w:rPr>
        <w:t>The reason for Enron’s position is obvious.  The PPA will be suspended for the duration of a Force Majeure event and therefore the buyer will be forced to secure alternative supply, normally at a higher cost.  In addition, for the duration of the Force Majeure event the buyer will be deprived of a return on its PPA investment.</w:t>
      </w:r>
    </w:p>
    <w:p>
      <w:pPr>
        <w:pStyle w:val="Department"/>
        <w:rPr>
          <w:rFonts w:ascii="Times New Roman" w:hAnsi="Times New Roman" w:cs="Times New Roman"/>
          <w:sz w:val="24"/>
        </w:rPr>
      </w:pPr>
      <w:r>
        <w:rPr>
          <w:rFonts w:cs="Times New Roman" w:ascii="Times New Roman" w:hAnsi="Times New Roman"/>
          <w:sz w:val="24"/>
        </w:rPr>
      </w:r>
    </w:p>
    <w:p>
      <w:pPr>
        <w:pStyle w:val="Department"/>
        <w:rPr>
          <w:rFonts w:ascii="Times New Roman" w:hAnsi="Times New Roman" w:cs="Times New Roman"/>
          <w:sz w:val="24"/>
        </w:rPr>
      </w:pPr>
      <w:r>
        <w:rPr>
          <w:rFonts w:cs="Times New Roman" w:ascii="Times New Roman" w:hAnsi="Times New Roman"/>
          <w:sz w:val="24"/>
        </w:rPr>
        <w:t>The definition of Force Majeure contained in Article 1.1 contains three descriptive references that are of concern to Enron.  First, Enron does not support the inclusion of a HILP Event in the definition for any type of major failure that is categorically within the control of the owner.  The inclusion of a HILP Event in the definition of Force Majeure would transfer significant risk to the buyer notwithstanding the fact the buyer lacks any ability to accurately price or control this risk.  It is therefore entirely unacceptable.  In addition, labor disputes and fuel supply shortages are also within the reasonable control of the owner and therefore should not be included in the definition.</w:t>
      </w:r>
    </w:p>
    <w:p>
      <w:pPr>
        <w:pStyle w:val="Department"/>
        <w:rPr>
          <w:rFonts w:ascii="Times New Roman" w:hAnsi="Times New Roman" w:cs="Times New Roman"/>
          <w:sz w:val="24"/>
        </w:rPr>
      </w:pPr>
      <w:r>
        <w:rPr>
          <w:rFonts w:cs="Times New Roman" w:ascii="Times New Roman" w:hAnsi="Times New Roman"/>
          <w:sz w:val="24"/>
        </w:rPr>
      </w:r>
      <w:r>
        <w:br w:type="page"/>
      </w:r>
    </w:p>
    <w:p>
      <w:pPr>
        <w:pStyle w:val="Department"/>
        <w:rPr>
          <w:rFonts w:ascii="Times New Roman" w:hAnsi="Times New Roman" w:cs="Times New Roman"/>
          <w:b/>
          <w:sz w:val="24"/>
          <w:u w:val="single"/>
        </w:rPr>
      </w:pPr>
      <w:r>
        <w:rPr>
          <w:rFonts w:cs="Times New Roman" w:ascii="Times New Roman" w:hAnsi="Times New Roman"/>
          <w:b/>
          <w:sz w:val="24"/>
          <w:u w:val="single"/>
        </w:rPr>
        <w:t>III. Schedules to Draft Power Purchase Arrangement</w:t>
      </w:r>
    </w:p>
    <w:p>
      <w:pPr>
        <w:pStyle w:val="Department"/>
        <w:rPr>
          <w:rFonts w:ascii="Times New Roman" w:hAnsi="Times New Roman" w:cs="Times New Roman"/>
          <w:b/>
          <w:sz w:val="24"/>
          <w:u w:val="single"/>
        </w:rPr>
      </w:pPr>
      <w:r>
        <w:rPr>
          <w:rFonts w:cs="Times New Roman" w:ascii="Times New Roman" w:hAnsi="Times New Roman"/>
          <w:b/>
          <w:sz w:val="24"/>
          <w:u w:val="single"/>
        </w:rPr>
      </w:r>
    </w:p>
    <w:p>
      <w:pPr>
        <w:pStyle w:val="Department"/>
        <w:rPr>
          <w:rFonts w:ascii="Times New Roman" w:hAnsi="Times New Roman" w:cs="Times New Roman"/>
          <w:b/>
          <w:sz w:val="24"/>
          <w:u w:val="single"/>
        </w:rPr>
      </w:pPr>
      <w:r>
        <w:rPr>
          <w:rFonts w:cs="Times New Roman" w:ascii="Times New Roman" w:hAnsi="Times New Roman"/>
          <w:b/>
          <w:sz w:val="24"/>
          <w:u w:val="single"/>
        </w:rPr>
        <w:t xml:space="preserve">Schedule A – Plant Description </w:t>
      </w:r>
    </w:p>
    <w:p>
      <w:pPr>
        <w:pStyle w:val="Department"/>
        <w:rPr>
          <w:rFonts w:ascii="Times New Roman" w:hAnsi="Times New Roman" w:cs="Times New Roman"/>
          <w:b/>
          <w:sz w:val="24"/>
          <w:u w:val="single"/>
        </w:rPr>
      </w:pPr>
      <w:r>
        <w:rPr>
          <w:rFonts w:cs="Times New Roman" w:ascii="Times New Roman" w:hAnsi="Times New Roman"/>
          <w:b/>
          <w:sz w:val="24"/>
          <w:u w:val="single"/>
        </w:rPr>
      </w:r>
    </w:p>
    <w:p>
      <w:pPr>
        <w:pStyle w:val="Department"/>
        <w:rPr>
          <w:rFonts w:ascii="Times New Roman" w:hAnsi="Times New Roman" w:cs="Times New Roman"/>
          <w:sz w:val="24"/>
        </w:rPr>
      </w:pPr>
      <w:r>
        <w:rPr>
          <w:rFonts w:cs="Times New Roman" w:ascii="Times New Roman" w:hAnsi="Times New Roman"/>
          <w:sz w:val="24"/>
        </w:rPr>
        <w:t xml:space="preserve">Enron supports the proposed contents of Schedule A.  In view of the fact that this schedule includes a description of the Unit Effective Term Completion Date, Enron will use this heading to reiterate its views regarding the term of the PPAs and the term of the auctioned instruments.  </w:t>
      </w:r>
    </w:p>
    <w:p>
      <w:pPr>
        <w:pStyle w:val="Department"/>
        <w:rPr>
          <w:rFonts w:ascii="Times New Roman" w:hAnsi="Times New Roman" w:cs="Times New Roman"/>
          <w:sz w:val="24"/>
        </w:rPr>
      </w:pPr>
      <w:r>
        <w:rPr>
          <w:rFonts w:cs="Times New Roman" w:ascii="Times New Roman" w:hAnsi="Times New Roman"/>
          <w:sz w:val="24"/>
        </w:rPr>
      </w:r>
    </w:p>
    <w:p>
      <w:pPr>
        <w:pStyle w:val="Department"/>
        <w:rPr/>
      </w:pPr>
      <w:r>
        <w:rPr>
          <w:rFonts w:cs="Times New Roman" w:ascii="Times New Roman" w:hAnsi="Times New Roman"/>
          <w:sz w:val="24"/>
        </w:rPr>
        <w:t xml:space="preserve">Enron has reviewed the IAT's Paper dated February 19, 1999 entitled: “Term of the PPAs and Auctioned Instruments” and supports the analysis and conclusions of the IAT.  In particular, Enron agrees with the IAT that the </w:t>
      </w:r>
      <w:r>
        <w:rPr>
          <w:rFonts w:cs="Times New Roman" w:ascii="Times New Roman" w:hAnsi="Times New Roman"/>
          <w:sz w:val="24"/>
          <w:u w:val="single"/>
        </w:rPr>
        <w:t>Electric Utilities Act</w:t>
      </w:r>
      <w:r>
        <w:rPr>
          <w:rFonts w:cs="Times New Roman" w:ascii="Times New Roman" w:hAnsi="Times New Roman"/>
          <w:sz w:val="24"/>
        </w:rPr>
        <w:t xml:space="preserve"> requires that the term of the PPA must be for the Base Life (or Extended Base Life) of the Unit or Plant.  Enron also agrees that the PPAs should be auctioned once for the entire term and shares the IAT's views respecting the arguments around discounting and financing that have been advocated by proponents of shorter term PPAs. </w:t>
      </w:r>
    </w:p>
    <w:p>
      <w:pPr>
        <w:pStyle w:val="Department"/>
        <w:rPr>
          <w:rFonts w:ascii="Times New Roman" w:hAnsi="Times New Roman" w:cs="Times New Roman"/>
          <w:sz w:val="24"/>
        </w:rPr>
      </w:pPr>
      <w:r>
        <w:rPr>
          <w:rFonts w:cs="Times New Roman" w:ascii="Times New Roman" w:hAnsi="Times New Roman"/>
          <w:sz w:val="24"/>
        </w:rPr>
      </w:r>
    </w:p>
    <w:p>
      <w:pPr>
        <w:pStyle w:val="Department"/>
        <w:rPr>
          <w:rFonts w:ascii="Times New Roman" w:hAnsi="Times New Roman" w:cs="Times New Roman"/>
          <w:b/>
          <w:sz w:val="24"/>
          <w:u w:val="single"/>
        </w:rPr>
      </w:pPr>
      <w:r>
        <w:rPr>
          <w:rFonts w:cs="Times New Roman" w:ascii="Times New Roman" w:hAnsi="Times New Roman"/>
          <w:b/>
          <w:sz w:val="24"/>
          <w:u w:val="single"/>
        </w:rPr>
        <w:t xml:space="preserve">Schedule B – Committed Capacity and Operating Characteristics </w:t>
      </w:r>
    </w:p>
    <w:p>
      <w:pPr>
        <w:pStyle w:val="Department"/>
        <w:rPr>
          <w:rFonts w:ascii="Times New Roman" w:hAnsi="Times New Roman" w:cs="Times New Roman"/>
          <w:b/>
          <w:sz w:val="24"/>
          <w:u w:val="single"/>
        </w:rPr>
      </w:pPr>
      <w:r>
        <w:rPr>
          <w:rFonts w:cs="Times New Roman" w:ascii="Times New Roman" w:hAnsi="Times New Roman"/>
          <w:b/>
          <w:sz w:val="24"/>
          <w:u w:val="single"/>
        </w:rPr>
      </w:r>
    </w:p>
    <w:p>
      <w:pPr>
        <w:pStyle w:val="Department"/>
        <w:rPr>
          <w:rFonts w:ascii="Times New Roman" w:hAnsi="Times New Roman" w:cs="Times New Roman"/>
          <w:sz w:val="24"/>
        </w:rPr>
      </w:pPr>
      <w:r>
        <w:rPr>
          <w:rFonts w:cs="Times New Roman" w:ascii="Times New Roman" w:hAnsi="Times New Roman"/>
          <w:sz w:val="24"/>
        </w:rPr>
        <w:t xml:space="preserve">It is Enron’s understanding that the Seasonal Committed Capacity (MWs) will be equal to the maximum continuous rating (MCR) of each generating unit.  </w:t>
      </w:r>
    </w:p>
    <w:p>
      <w:pPr>
        <w:pStyle w:val="Department"/>
        <w:rPr>
          <w:rFonts w:ascii="Times New Roman" w:hAnsi="Times New Roman" w:cs="Times New Roman"/>
          <w:sz w:val="24"/>
        </w:rPr>
      </w:pPr>
      <w:r>
        <w:rPr>
          <w:rFonts w:cs="Times New Roman" w:ascii="Times New Roman" w:hAnsi="Times New Roman"/>
          <w:sz w:val="24"/>
        </w:rPr>
      </w:r>
    </w:p>
    <w:p>
      <w:pPr>
        <w:pStyle w:val="Department"/>
        <w:rPr>
          <w:rFonts w:ascii="Times New Roman" w:hAnsi="Times New Roman" w:cs="Times New Roman"/>
          <w:b/>
          <w:sz w:val="24"/>
          <w:u w:val="single"/>
        </w:rPr>
      </w:pPr>
      <w:r>
        <w:rPr>
          <w:rFonts w:cs="Times New Roman" w:ascii="Times New Roman" w:hAnsi="Times New Roman"/>
          <w:b/>
          <w:sz w:val="24"/>
          <w:u w:val="single"/>
        </w:rPr>
        <w:t>Schedule C – Capacity Payments</w:t>
      </w:r>
    </w:p>
    <w:p>
      <w:pPr>
        <w:pStyle w:val="Department"/>
        <w:rPr>
          <w:rFonts w:ascii="Times New Roman" w:hAnsi="Times New Roman" w:cs="Times New Roman"/>
          <w:b/>
          <w:sz w:val="24"/>
          <w:u w:val="single"/>
        </w:rPr>
      </w:pPr>
      <w:r>
        <w:rPr>
          <w:rFonts w:cs="Times New Roman" w:ascii="Times New Roman" w:hAnsi="Times New Roman"/>
          <w:b/>
          <w:sz w:val="24"/>
          <w:u w:val="single"/>
        </w:rPr>
      </w:r>
    </w:p>
    <w:p>
      <w:pPr>
        <w:pStyle w:val="Department"/>
        <w:rPr>
          <w:rFonts w:ascii="Times New Roman" w:hAnsi="Times New Roman" w:cs="Times New Roman"/>
          <w:sz w:val="24"/>
          <w:u w:val="single"/>
        </w:rPr>
      </w:pPr>
      <w:r>
        <w:rPr>
          <w:rFonts w:cs="Times New Roman" w:ascii="Times New Roman" w:hAnsi="Times New Roman"/>
          <w:sz w:val="24"/>
          <w:u w:val="single"/>
        </w:rPr>
        <w:t>General</w:t>
      </w:r>
    </w:p>
    <w:p>
      <w:pPr>
        <w:pStyle w:val="Department"/>
        <w:rPr>
          <w:rFonts w:ascii="Times New Roman" w:hAnsi="Times New Roman" w:cs="Times New Roman"/>
          <w:sz w:val="24"/>
          <w:u w:val="single"/>
        </w:rPr>
      </w:pPr>
      <w:r>
        <w:rPr>
          <w:rFonts w:cs="Times New Roman" w:ascii="Times New Roman" w:hAnsi="Times New Roman"/>
          <w:sz w:val="24"/>
          <w:u w:val="single"/>
        </w:rPr>
      </w:r>
    </w:p>
    <w:p>
      <w:pPr>
        <w:pStyle w:val="Department"/>
        <w:rPr>
          <w:rFonts w:ascii="Times New Roman" w:hAnsi="Times New Roman" w:cs="Times New Roman"/>
          <w:sz w:val="24"/>
        </w:rPr>
      </w:pPr>
      <w:r>
        <w:rPr>
          <w:rFonts w:cs="Times New Roman" w:ascii="Times New Roman" w:hAnsi="Times New Roman"/>
          <w:sz w:val="24"/>
        </w:rPr>
        <w:t xml:space="preserve">Enron understands the availability incentive payment is designed to provide the owner with an economic incentive to make the unit highly available, especially during periods of tight supply.  It is not a payment for excess energy as it is derived by determining the level of AA relative to the level of TA.  It is a contribution from or to fixed costs.  Therefore, it is important that modeling and analysis be undertaken to assess the degree to which this incentive may impact the base stream of fixed costs recovered by the owners to ensure that the incentives or penalties that could potentially result are consistent with a reasonable rate of return on fixed costs to owners.   </w:t>
      </w:r>
    </w:p>
    <w:p>
      <w:pPr>
        <w:pStyle w:val="Department"/>
        <w:rPr>
          <w:rFonts w:ascii="Times New Roman" w:hAnsi="Times New Roman" w:cs="Times New Roman"/>
          <w:sz w:val="24"/>
        </w:rPr>
      </w:pPr>
      <w:r>
        <w:rPr>
          <w:rFonts w:cs="Times New Roman" w:ascii="Times New Roman" w:hAnsi="Times New Roman"/>
          <w:sz w:val="24"/>
        </w:rPr>
      </w:r>
    </w:p>
    <w:p>
      <w:pPr>
        <w:pStyle w:val="Department"/>
        <w:rPr>
          <w:rFonts w:ascii="Times New Roman" w:hAnsi="Times New Roman" w:cs="Times New Roman"/>
          <w:sz w:val="24"/>
          <w:u w:val="single"/>
        </w:rPr>
      </w:pPr>
      <w:r>
        <w:rPr>
          <w:rFonts w:cs="Times New Roman" w:ascii="Times New Roman" w:hAnsi="Times New Roman"/>
          <w:sz w:val="24"/>
          <w:u w:val="single"/>
        </w:rPr>
        <w:t>Section 4.3</w:t>
      </w:r>
    </w:p>
    <w:p>
      <w:pPr>
        <w:pStyle w:val="Department"/>
        <w:rPr>
          <w:rFonts w:ascii="Times New Roman" w:hAnsi="Times New Roman" w:cs="Times New Roman"/>
          <w:b/>
          <w:sz w:val="24"/>
          <w:u w:val="single"/>
        </w:rPr>
      </w:pPr>
      <w:r>
        <w:rPr>
          <w:rFonts w:cs="Times New Roman" w:ascii="Times New Roman" w:hAnsi="Times New Roman"/>
          <w:b/>
          <w:sz w:val="24"/>
          <w:u w:val="single"/>
        </w:rPr>
      </w:r>
    </w:p>
    <w:p>
      <w:pPr>
        <w:pStyle w:val="Department"/>
        <w:rPr>
          <w:rFonts w:ascii="Times New Roman" w:hAnsi="Times New Roman" w:cs="Times New Roman"/>
          <w:sz w:val="24"/>
        </w:rPr>
      </w:pPr>
      <w:r>
        <w:rPr>
          <w:rFonts w:cs="Times New Roman" w:ascii="Times New Roman" w:hAnsi="Times New Roman"/>
          <w:sz w:val="24"/>
        </w:rPr>
        <w:t xml:space="preserve">Enron supports the changes made to the TA formula that incorporates planned outages into the TA calculation.  This modification allows the TA formula to reflect both forced and planned outages, as opposed to just forced outages.  </w:t>
      </w:r>
    </w:p>
    <w:p>
      <w:pPr>
        <w:pStyle w:val="Department"/>
        <w:rPr>
          <w:rFonts w:ascii="Times New Roman" w:hAnsi="Times New Roman" w:cs="Times New Roman"/>
          <w:sz w:val="24"/>
        </w:rPr>
      </w:pPr>
      <w:r>
        <w:rPr>
          <w:rFonts w:cs="Times New Roman" w:ascii="Times New Roman" w:hAnsi="Times New Roman"/>
          <w:sz w:val="24"/>
        </w:rPr>
      </w:r>
    </w:p>
    <w:p>
      <w:pPr>
        <w:pStyle w:val="Department"/>
        <w:rPr/>
      </w:pPr>
      <w:r>
        <w:rPr>
          <w:rFonts w:cs="Times New Roman" w:ascii="Times New Roman" w:hAnsi="Times New Roman"/>
          <w:sz w:val="24"/>
        </w:rPr>
        <w:t>Although Enron appreciates there is potential asymmetry between the benefits that owners may earn from additional reliability and the losses they may incur for reduced availability, it does not support the inclusion of the ASAF.  It is Enron’s view that the ASAF is an unnecessary “fudge” factor that over-specifies the TA formula.  A unit will fall below its maximum availability because of either a forced or planned outage.  Any perceived need by the owners to weight the TA downward to account for the asymmetry can be accomplished through a careful analysis and determination of the appropriate levels of EFOR and DUR</w:t>
      </w:r>
      <w:r>
        <w:rPr>
          <w:rFonts w:cs="Times New Roman" w:ascii="Times New Roman" w:hAnsi="Times New Roman"/>
          <w:sz w:val="24"/>
          <w:vertAlign w:val="subscript"/>
        </w:rPr>
        <w:t xml:space="preserve">uy.  </w:t>
      </w:r>
    </w:p>
    <w:p>
      <w:pPr>
        <w:pStyle w:val="Department"/>
        <w:rPr>
          <w:rFonts w:ascii="Times New Roman" w:hAnsi="Times New Roman" w:cs="Times New Roman"/>
          <w:sz w:val="24"/>
          <w:vertAlign w:val="subscript"/>
        </w:rPr>
      </w:pPr>
      <w:r>
        <w:rPr>
          <w:rFonts w:cs="Times New Roman" w:ascii="Times New Roman" w:hAnsi="Times New Roman"/>
          <w:sz w:val="24"/>
          <w:vertAlign w:val="subscript"/>
        </w:rPr>
      </w:r>
    </w:p>
    <w:p>
      <w:pPr>
        <w:pStyle w:val="Department"/>
        <w:rPr>
          <w:rFonts w:ascii="Times New Roman" w:hAnsi="Times New Roman" w:cs="Times New Roman"/>
          <w:sz w:val="24"/>
          <w:u w:val="single"/>
        </w:rPr>
      </w:pPr>
      <w:r>
        <w:rPr>
          <w:rFonts w:cs="Times New Roman" w:ascii="Times New Roman" w:hAnsi="Times New Roman"/>
          <w:sz w:val="24"/>
          <w:u w:val="single"/>
        </w:rPr>
        <w:t>Section 4.6</w:t>
      </w:r>
    </w:p>
    <w:p>
      <w:pPr>
        <w:pStyle w:val="Department"/>
        <w:rPr>
          <w:rFonts w:ascii="Times New Roman" w:hAnsi="Times New Roman" w:cs="Times New Roman"/>
          <w:sz w:val="24"/>
          <w:u w:val="single"/>
        </w:rPr>
      </w:pPr>
      <w:r>
        <w:rPr>
          <w:rFonts w:cs="Times New Roman" w:ascii="Times New Roman" w:hAnsi="Times New Roman"/>
          <w:sz w:val="24"/>
          <w:u w:val="single"/>
        </w:rPr>
      </w:r>
    </w:p>
    <w:p>
      <w:pPr>
        <w:pStyle w:val="Department"/>
        <w:rPr>
          <w:rFonts w:ascii="Times New Roman" w:hAnsi="Times New Roman" w:cs="Times New Roman"/>
          <w:sz w:val="24"/>
        </w:rPr>
      </w:pPr>
      <w:r>
        <w:rPr>
          <w:rFonts w:cs="Times New Roman" w:ascii="Times New Roman" w:hAnsi="Times New Roman"/>
          <w:sz w:val="24"/>
        </w:rPr>
        <w:t>Enron supports the view that the use of a rolling average pool price rather than live pool prices in the calculation of SAIP largely removes the opportunity for an owner to manipulate the pool price by withholding capacity from one unit in the expectation that by doing so it will more than recover the cost of the availability “penalty” through other units in its portfolio that are receiving a positive SAIP.  In view of this Enron supports the revised SAIP formula, with the exception of the inclusion of the ASAF component.</w:t>
      </w:r>
    </w:p>
    <w:p>
      <w:pPr>
        <w:pStyle w:val="Department"/>
        <w:rPr>
          <w:rFonts w:ascii="Times New Roman" w:hAnsi="Times New Roman" w:cs="Times New Roman"/>
          <w:sz w:val="24"/>
        </w:rPr>
      </w:pPr>
      <w:r>
        <w:rPr>
          <w:rFonts w:cs="Times New Roman" w:ascii="Times New Roman" w:hAnsi="Times New Roman"/>
          <w:sz w:val="24"/>
        </w:rPr>
      </w:r>
    </w:p>
    <w:p>
      <w:pPr>
        <w:pStyle w:val="Department"/>
        <w:rPr>
          <w:rFonts w:ascii="Times New Roman" w:hAnsi="Times New Roman" w:cs="Times New Roman"/>
          <w:b/>
          <w:sz w:val="24"/>
          <w:u w:val="single"/>
        </w:rPr>
      </w:pPr>
      <w:r>
        <w:rPr>
          <w:rFonts w:cs="Times New Roman" w:ascii="Times New Roman" w:hAnsi="Times New Roman"/>
          <w:b/>
          <w:sz w:val="24"/>
          <w:u w:val="single"/>
        </w:rPr>
        <w:t>Schedule D – Monthly Energy Payments</w:t>
      </w:r>
    </w:p>
    <w:p>
      <w:pPr>
        <w:pStyle w:val="Department"/>
        <w:rPr>
          <w:rFonts w:ascii="Times New Roman" w:hAnsi="Times New Roman" w:cs="Times New Roman"/>
          <w:b/>
          <w:sz w:val="24"/>
          <w:u w:val="single"/>
        </w:rPr>
      </w:pPr>
      <w:r>
        <w:rPr>
          <w:rFonts w:cs="Times New Roman" w:ascii="Times New Roman" w:hAnsi="Times New Roman"/>
          <w:b/>
          <w:sz w:val="24"/>
          <w:u w:val="single"/>
        </w:rPr>
      </w:r>
    </w:p>
    <w:p>
      <w:pPr>
        <w:pStyle w:val="Department"/>
        <w:rPr>
          <w:rFonts w:ascii="Times New Roman" w:hAnsi="Times New Roman" w:cs="Times New Roman"/>
          <w:sz w:val="24"/>
          <w:u w:val="single"/>
        </w:rPr>
      </w:pPr>
      <w:r>
        <w:rPr>
          <w:rFonts w:cs="Times New Roman" w:ascii="Times New Roman" w:hAnsi="Times New Roman"/>
          <w:sz w:val="24"/>
          <w:u w:val="single"/>
        </w:rPr>
        <w:t>General</w:t>
      </w:r>
    </w:p>
    <w:p>
      <w:pPr>
        <w:pStyle w:val="Department"/>
        <w:rPr>
          <w:rFonts w:ascii="Times New Roman" w:hAnsi="Times New Roman" w:cs="Times New Roman"/>
          <w:sz w:val="24"/>
          <w:u w:val="single"/>
        </w:rPr>
      </w:pPr>
      <w:r>
        <w:rPr>
          <w:rFonts w:cs="Times New Roman" w:ascii="Times New Roman" w:hAnsi="Times New Roman"/>
          <w:sz w:val="24"/>
          <w:u w:val="single"/>
        </w:rPr>
      </w:r>
    </w:p>
    <w:p>
      <w:pPr>
        <w:pStyle w:val="Department"/>
        <w:rPr>
          <w:rFonts w:ascii="Times New Roman" w:hAnsi="Times New Roman" w:cs="Times New Roman"/>
          <w:sz w:val="24"/>
        </w:rPr>
      </w:pPr>
      <w:r>
        <w:rPr>
          <w:rFonts w:cs="Times New Roman" w:ascii="Times New Roman" w:hAnsi="Times New Roman"/>
          <w:sz w:val="24"/>
        </w:rPr>
        <w:t xml:space="preserve">Enron agrees and acknowledges that one important contributor to an increase in the rate of heat rate degradation is the decline in operating efficiency of some portions of the generation plant as it gets older.  Other important factors are the operating and maintenance practices of the owner and the level of capital expenditures made by the owner to maintain or upgrade the primary and auxiliary equipment efficiency.  The owner’s maintenance practices and capital expenditures can significantly arrest, or in some cases even reverse, heat rate degradation leading to potentially lower heat rates over certain periods.  Notwithstanding this, Enron concedes that certain generation units may experience increased HRD, especially toward the end of their lives. </w:t>
      </w:r>
    </w:p>
    <w:p>
      <w:pPr>
        <w:pStyle w:val="Department"/>
        <w:rPr>
          <w:rFonts w:ascii="Times New Roman" w:hAnsi="Times New Roman" w:cs="Times New Roman"/>
          <w:sz w:val="24"/>
        </w:rPr>
      </w:pPr>
      <w:r>
        <w:rPr>
          <w:rFonts w:cs="Times New Roman" w:ascii="Times New Roman" w:hAnsi="Times New Roman"/>
          <w:sz w:val="24"/>
        </w:rPr>
      </w:r>
    </w:p>
    <w:p>
      <w:pPr>
        <w:pStyle w:val="Department"/>
        <w:rPr>
          <w:rFonts w:ascii="Times New Roman" w:hAnsi="Times New Roman" w:cs="Times New Roman"/>
          <w:sz w:val="24"/>
        </w:rPr>
      </w:pPr>
      <w:r>
        <w:rPr>
          <w:rFonts w:cs="Times New Roman" w:ascii="Times New Roman" w:hAnsi="Times New Roman"/>
          <w:sz w:val="24"/>
        </w:rPr>
        <w:t xml:space="preserve">Enron appreciates the desire of the IAT to provide a simple approach to HRD (i.e. .33% per year, all units, base and incremental) but it urges the IAT to assess the trade-off involved and consider the impact of representative rather than average HRD movement across individual units over time.  </w:t>
      </w:r>
    </w:p>
    <w:p>
      <w:pPr>
        <w:pStyle w:val="Department"/>
        <w:rPr>
          <w:rFonts w:ascii="Times New Roman" w:hAnsi="Times New Roman" w:cs="Times New Roman"/>
          <w:sz w:val="24"/>
        </w:rPr>
      </w:pPr>
      <w:r>
        <w:rPr>
          <w:rFonts w:cs="Times New Roman" w:ascii="Times New Roman" w:hAnsi="Times New Roman"/>
          <w:sz w:val="24"/>
        </w:rPr>
      </w:r>
    </w:p>
    <w:p>
      <w:pPr>
        <w:pStyle w:val="Department"/>
        <w:rPr>
          <w:rFonts w:ascii="Times New Roman" w:hAnsi="Times New Roman" w:cs="Times New Roman"/>
          <w:sz w:val="24"/>
        </w:rPr>
      </w:pPr>
      <w:r>
        <w:rPr>
          <w:rFonts w:cs="Times New Roman" w:ascii="Times New Roman" w:hAnsi="Times New Roman"/>
          <w:sz w:val="24"/>
        </w:rPr>
        <w:t xml:space="preserve">It is important to consider the impact of at least two factors that influence HRD so that consumers are not required to pay owners twice for HRD – once through the allotment of costs geared toward minimizing degradation and again through higher fuel charges that incorporate HRD into the equation.   These factors include: </w:t>
      </w:r>
    </w:p>
    <w:p>
      <w:pPr>
        <w:pStyle w:val="Department"/>
        <w:rPr>
          <w:rFonts w:ascii="Times New Roman" w:hAnsi="Times New Roman" w:cs="Times New Roman"/>
          <w:sz w:val="24"/>
        </w:rPr>
      </w:pPr>
      <w:r>
        <w:rPr>
          <w:rFonts w:cs="Times New Roman" w:ascii="Times New Roman" w:hAnsi="Times New Roman"/>
          <w:sz w:val="24"/>
        </w:rPr>
      </w:r>
    </w:p>
    <w:p>
      <w:pPr>
        <w:pStyle w:val="Department"/>
        <w:numPr>
          <w:ilvl w:val="0"/>
          <w:numId w:val="4"/>
        </w:numPr>
        <w:rPr>
          <w:rFonts w:ascii="Times New Roman" w:hAnsi="Times New Roman" w:cs="Times New Roman"/>
          <w:sz w:val="24"/>
        </w:rPr>
      </w:pPr>
      <w:r>
        <w:rPr>
          <w:rFonts w:cs="Times New Roman" w:ascii="Times New Roman" w:hAnsi="Times New Roman"/>
          <w:sz w:val="24"/>
        </w:rPr>
        <w:t>Projected patterns of capital equipment expenditure that may tend to decrease HRD.  Based on Enron’s preliminary review of other information posted by the IAT it appears the owners have all proposed high levels of capital expenditures, and;</w:t>
      </w:r>
    </w:p>
    <w:p>
      <w:pPr>
        <w:pStyle w:val="Department"/>
        <w:numPr>
          <w:ilvl w:val="0"/>
          <w:numId w:val="4"/>
        </w:numPr>
        <w:rPr>
          <w:rFonts w:ascii="Times New Roman" w:hAnsi="Times New Roman" w:cs="Times New Roman"/>
          <w:sz w:val="24"/>
        </w:rPr>
      </w:pPr>
      <w:r>
        <w:rPr>
          <w:rFonts w:cs="Times New Roman" w:ascii="Times New Roman" w:hAnsi="Times New Roman"/>
          <w:sz w:val="24"/>
        </w:rPr>
        <w:t>The fact that a separate allocation for fixed and variable operating and maintenance costs already exists.  It appears that the owners have all proposed high levels of fixed operating and maintenance expenditures, relative to historical expenditures;</w:t>
      </w:r>
    </w:p>
    <w:p>
      <w:pPr>
        <w:pStyle w:val="Department"/>
        <w:rPr>
          <w:rFonts w:ascii="Times New Roman" w:hAnsi="Times New Roman" w:cs="Times New Roman"/>
          <w:sz w:val="24"/>
        </w:rPr>
      </w:pPr>
      <w:r>
        <w:rPr>
          <w:rFonts w:cs="Times New Roman" w:ascii="Times New Roman" w:hAnsi="Times New Roman"/>
          <w:sz w:val="24"/>
        </w:rPr>
      </w:r>
    </w:p>
    <w:p>
      <w:pPr>
        <w:pStyle w:val="Department"/>
        <w:rPr>
          <w:rFonts w:ascii="Times New Roman" w:hAnsi="Times New Roman" w:cs="Times New Roman"/>
          <w:sz w:val="24"/>
          <w:u w:val="single"/>
        </w:rPr>
      </w:pPr>
      <w:r>
        <w:rPr>
          <w:rFonts w:cs="Times New Roman" w:ascii="Times New Roman" w:hAnsi="Times New Roman"/>
          <w:sz w:val="24"/>
          <w:u w:val="single"/>
        </w:rPr>
      </w:r>
    </w:p>
    <w:p>
      <w:pPr>
        <w:pStyle w:val="Department"/>
        <w:rPr>
          <w:rFonts w:ascii="Times New Roman" w:hAnsi="Times New Roman" w:cs="Times New Roman"/>
          <w:sz w:val="24"/>
          <w:u w:val="single"/>
        </w:rPr>
      </w:pPr>
      <w:r>
        <w:rPr>
          <w:rFonts w:cs="Times New Roman" w:ascii="Times New Roman" w:hAnsi="Times New Roman"/>
          <w:sz w:val="24"/>
          <w:u w:val="single"/>
        </w:rPr>
      </w:r>
    </w:p>
    <w:p>
      <w:pPr>
        <w:pStyle w:val="Department"/>
        <w:rPr>
          <w:rFonts w:ascii="Times New Roman" w:hAnsi="Times New Roman" w:cs="Times New Roman"/>
          <w:sz w:val="24"/>
          <w:u w:val="single"/>
        </w:rPr>
      </w:pPr>
      <w:r>
        <w:rPr>
          <w:rFonts w:cs="Times New Roman" w:ascii="Times New Roman" w:hAnsi="Times New Roman"/>
          <w:sz w:val="24"/>
          <w:u w:val="single"/>
        </w:rPr>
      </w:r>
    </w:p>
    <w:p>
      <w:pPr>
        <w:pStyle w:val="Department"/>
        <w:rPr>
          <w:rFonts w:ascii="Times New Roman" w:hAnsi="Times New Roman" w:cs="Times New Roman"/>
          <w:sz w:val="24"/>
          <w:u w:val="single"/>
        </w:rPr>
      </w:pPr>
      <w:r>
        <w:rPr>
          <w:rFonts w:cs="Times New Roman" w:ascii="Times New Roman" w:hAnsi="Times New Roman"/>
          <w:sz w:val="24"/>
          <w:u w:val="single"/>
        </w:rPr>
        <w:t>Section 5.4</w:t>
      </w:r>
    </w:p>
    <w:p>
      <w:pPr>
        <w:pStyle w:val="Department"/>
        <w:rPr>
          <w:rFonts w:ascii="Times New Roman" w:hAnsi="Times New Roman" w:cs="Times New Roman"/>
          <w:sz w:val="24"/>
          <w:u w:val="single"/>
        </w:rPr>
      </w:pPr>
      <w:r>
        <w:rPr>
          <w:rFonts w:cs="Times New Roman" w:ascii="Times New Roman" w:hAnsi="Times New Roman"/>
          <w:sz w:val="24"/>
          <w:u w:val="single"/>
        </w:rPr>
      </w:r>
    </w:p>
    <w:p>
      <w:pPr>
        <w:pStyle w:val="Department"/>
        <w:rPr>
          <w:rFonts w:ascii="Times New Roman" w:hAnsi="Times New Roman" w:cs="Times New Roman"/>
          <w:sz w:val="24"/>
        </w:rPr>
      </w:pPr>
      <w:r>
        <w:rPr>
          <w:rFonts w:cs="Times New Roman" w:ascii="Times New Roman" w:hAnsi="Times New Roman"/>
          <w:sz w:val="24"/>
        </w:rPr>
        <w:t xml:space="preserve">In view of the fact that heat rate degradation does not occur at a constant rate, Enron is concerned with the fact that the formula appears to assume just one value of HRD.  Since the HRD may be different over the years for different units, this movement in HRD should be reflected in the formula. </w:t>
      </w:r>
    </w:p>
    <w:p>
      <w:pPr>
        <w:pStyle w:val="Department"/>
        <w:rPr>
          <w:rFonts w:ascii="Times New Roman" w:hAnsi="Times New Roman" w:cs="Times New Roman"/>
          <w:sz w:val="24"/>
        </w:rPr>
      </w:pPr>
      <w:r>
        <w:rPr>
          <w:rFonts w:cs="Times New Roman" w:ascii="Times New Roman" w:hAnsi="Times New Roman"/>
          <w:sz w:val="24"/>
        </w:rPr>
      </w:r>
    </w:p>
    <w:p>
      <w:pPr>
        <w:pStyle w:val="Department"/>
        <w:rPr>
          <w:rFonts w:ascii="Times New Roman" w:hAnsi="Times New Roman" w:cs="Times New Roman"/>
          <w:sz w:val="24"/>
          <w:u w:val="single"/>
        </w:rPr>
      </w:pPr>
      <w:r>
        <w:rPr>
          <w:rFonts w:cs="Times New Roman" w:ascii="Times New Roman" w:hAnsi="Times New Roman"/>
          <w:sz w:val="24"/>
          <w:u w:val="single"/>
        </w:rPr>
        <w:t>Section 5.6</w:t>
      </w:r>
    </w:p>
    <w:p>
      <w:pPr>
        <w:pStyle w:val="Department"/>
        <w:rPr>
          <w:rFonts w:ascii="Times New Roman" w:hAnsi="Times New Roman" w:cs="Times New Roman"/>
          <w:sz w:val="24"/>
          <w:u w:val="single"/>
        </w:rPr>
      </w:pPr>
      <w:r>
        <w:rPr>
          <w:rFonts w:cs="Times New Roman" w:ascii="Times New Roman" w:hAnsi="Times New Roman"/>
          <w:sz w:val="24"/>
          <w:u w:val="single"/>
        </w:rPr>
      </w:r>
    </w:p>
    <w:p>
      <w:pPr>
        <w:pStyle w:val="Department"/>
        <w:rPr/>
      </w:pPr>
      <w:r>
        <w:rPr>
          <w:rFonts w:cs="Times New Roman" w:ascii="Times New Roman" w:hAnsi="Times New Roman"/>
          <w:sz w:val="24"/>
        </w:rPr>
        <w:t>Enron supports the need to compensate owners for opportunity costs associated with providing reactive power levels outside of the .95 leading and .90 lagging bandwidth.  Enron does not support the inclusion of RPMWH</w:t>
      </w:r>
      <w:r>
        <w:rPr>
          <w:rFonts w:cs="Times New Roman" w:ascii="Times New Roman" w:hAnsi="Times New Roman"/>
          <w:sz w:val="24"/>
          <w:vertAlign w:val="subscript"/>
        </w:rPr>
        <w:t>us</w:t>
      </w:r>
      <w:r>
        <w:rPr>
          <w:rFonts w:cs="Times New Roman" w:ascii="Times New Roman" w:hAnsi="Times New Roman"/>
          <w:sz w:val="24"/>
        </w:rPr>
        <w:t xml:space="preserve"> in the EPO</w:t>
      </w:r>
      <w:r>
        <w:rPr>
          <w:rFonts w:cs="Times New Roman" w:ascii="Times New Roman" w:hAnsi="Times New Roman"/>
          <w:sz w:val="24"/>
          <w:vertAlign w:val="subscript"/>
        </w:rPr>
        <w:t xml:space="preserve">us </w:t>
      </w:r>
      <w:r>
        <w:rPr>
          <w:rFonts w:cs="Times New Roman" w:ascii="Times New Roman" w:hAnsi="Times New Roman"/>
          <w:sz w:val="24"/>
        </w:rPr>
        <w:t xml:space="preserve">formula on the basis that the accounting for energy and system support services should be kept separate.  Enron is of the view that all costs for reactive power requirements should be accounted for in Schedule F - System Support Services.  </w:t>
      </w:r>
    </w:p>
    <w:p>
      <w:pPr>
        <w:pStyle w:val="Department"/>
        <w:rPr>
          <w:rFonts w:ascii="Times New Roman" w:hAnsi="Times New Roman" w:cs="Times New Roman"/>
          <w:sz w:val="24"/>
        </w:rPr>
      </w:pPr>
      <w:r>
        <w:rPr>
          <w:rFonts w:cs="Times New Roman" w:ascii="Times New Roman" w:hAnsi="Times New Roman"/>
          <w:sz w:val="24"/>
        </w:rPr>
      </w:r>
    </w:p>
    <w:p>
      <w:pPr>
        <w:pStyle w:val="Department"/>
        <w:rPr/>
      </w:pPr>
      <w:r>
        <w:rPr>
          <w:rFonts w:cs="Times New Roman" w:ascii="Times New Roman" w:hAnsi="Times New Roman"/>
          <w:sz w:val="24"/>
        </w:rPr>
        <w:t>The RPMWH</w:t>
      </w:r>
      <w:r>
        <w:rPr>
          <w:rFonts w:cs="Times New Roman" w:ascii="Times New Roman" w:hAnsi="Times New Roman"/>
          <w:sz w:val="24"/>
          <w:vertAlign w:val="subscript"/>
        </w:rPr>
        <w:t>us</w:t>
      </w:r>
      <w:r>
        <w:rPr>
          <w:rFonts w:cs="Times New Roman" w:ascii="Times New Roman" w:hAnsi="Times New Roman"/>
          <w:sz w:val="24"/>
        </w:rPr>
        <w:t xml:space="preserve"> formula does not represent actual generation of MWh for reactive power purposes but is an opportunity cost term that represents MWh sales foregone.  In addition the EPO</w:t>
      </w:r>
      <w:r>
        <w:rPr>
          <w:rFonts w:cs="Times New Roman" w:ascii="Times New Roman" w:hAnsi="Times New Roman"/>
          <w:sz w:val="24"/>
          <w:vertAlign w:val="subscript"/>
        </w:rPr>
        <w:t>us</w:t>
      </w:r>
      <w:r>
        <w:rPr>
          <w:rFonts w:cs="Times New Roman" w:ascii="Times New Roman" w:hAnsi="Times New Roman"/>
          <w:sz w:val="24"/>
        </w:rPr>
        <w:t xml:space="preserve"> and EPOL</w:t>
      </w:r>
      <w:r>
        <w:rPr>
          <w:rFonts w:cs="Times New Roman" w:ascii="Times New Roman" w:hAnsi="Times New Roman"/>
          <w:sz w:val="24"/>
          <w:vertAlign w:val="subscript"/>
        </w:rPr>
        <w:t xml:space="preserve">us </w:t>
      </w:r>
      <w:r>
        <w:rPr>
          <w:rFonts w:cs="Times New Roman" w:ascii="Times New Roman" w:hAnsi="Times New Roman"/>
          <w:sz w:val="24"/>
        </w:rPr>
        <w:t xml:space="preserve">terms are used in a number of equations, and in the future they may be used in additional computations that are not currently anticipated.  For this reason, these terms should remain associated with real energy output, and not be included as an opportunity cost component.  </w:t>
      </w:r>
    </w:p>
    <w:p>
      <w:pPr>
        <w:pStyle w:val="Department"/>
        <w:rPr>
          <w:rFonts w:ascii="Times New Roman" w:hAnsi="Times New Roman" w:cs="Times New Roman"/>
          <w:sz w:val="24"/>
        </w:rPr>
      </w:pPr>
      <w:r>
        <w:rPr>
          <w:rFonts w:cs="Times New Roman" w:ascii="Times New Roman" w:hAnsi="Times New Roman"/>
          <w:sz w:val="24"/>
        </w:rPr>
      </w:r>
    </w:p>
    <w:p>
      <w:pPr>
        <w:pStyle w:val="Department"/>
        <w:rPr>
          <w:rFonts w:ascii="Times New Roman" w:hAnsi="Times New Roman" w:cs="Times New Roman"/>
          <w:b/>
          <w:sz w:val="24"/>
          <w:u w:val="single"/>
        </w:rPr>
      </w:pPr>
      <w:r>
        <w:rPr>
          <w:rFonts w:cs="Times New Roman" w:ascii="Times New Roman" w:hAnsi="Times New Roman"/>
          <w:b/>
          <w:sz w:val="24"/>
          <w:u w:val="single"/>
        </w:rPr>
        <w:t>Schedule E – Excess Energy and Increased Capacity</w:t>
      </w:r>
    </w:p>
    <w:p>
      <w:pPr>
        <w:pStyle w:val="Department"/>
        <w:rPr>
          <w:rFonts w:ascii="Times New Roman" w:hAnsi="Times New Roman" w:cs="Times New Roman"/>
          <w:b/>
          <w:sz w:val="24"/>
          <w:u w:val="single"/>
        </w:rPr>
      </w:pPr>
      <w:r>
        <w:rPr>
          <w:rFonts w:cs="Times New Roman" w:ascii="Times New Roman" w:hAnsi="Times New Roman"/>
          <w:b/>
          <w:sz w:val="24"/>
          <w:u w:val="single"/>
        </w:rPr>
      </w:r>
    </w:p>
    <w:p>
      <w:pPr>
        <w:pStyle w:val="Department"/>
        <w:rPr>
          <w:rFonts w:ascii="Times New Roman" w:hAnsi="Times New Roman" w:cs="Times New Roman"/>
          <w:sz w:val="24"/>
          <w:u w:val="single"/>
        </w:rPr>
      </w:pPr>
      <w:r>
        <w:rPr>
          <w:rFonts w:cs="Times New Roman" w:ascii="Times New Roman" w:hAnsi="Times New Roman"/>
          <w:sz w:val="24"/>
          <w:u w:val="single"/>
        </w:rPr>
        <w:t>General</w:t>
      </w:r>
    </w:p>
    <w:p>
      <w:pPr>
        <w:pStyle w:val="Department"/>
        <w:rPr>
          <w:rFonts w:ascii="Times New Roman" w:hAnsi="Times New Roman" w:cs="Times New Roman"/>
          <w:sz w:val="24"/>
          <w:u w:val="single"/>
        </w:rPr>
      </w:pPr>
      <w:r>
        <w:rPr>
          <w:rFonts w:cs="Times New Roman" w:ascii="Times New Roman" w:hAnsi="Times New Roman"/>
          <w:sz w:val="24"/>
          <w:u w:val="single"/>
        </w:rPr>
      </w:r>
    </w:p>
    <w:p>
      <w:pPr>
        <w:pStyle w:val="Department"/>
        <w:rPr>
          <w:rFonts w:ascii="Times New Roman" w:hAnsi="Times New Roman" w:cs="Times New Roman"/>
          <w:sz w:val="24"/>
        </w:rPr>
      </w:pPr>
      <w:r>
        <w:rPr>
          <w:rFonts w:cs="Times New Roman" w:ascii="Times New Roman" w:hAnsi="Times New Roman"/>
          <w:sz w:val="24"/>
        </w:rPr>
        <w:t>Enron refers the IAT to its comments above under Article 2.2 – Excess Energy in which Enron expresses its view that it is appropriate for a greater portion of the excess energy benefit to be shared by owners with consumers.  The 10% figure contained in Section 3.4 appears to be intended to recompense the buyer for services provided as opposed to share any of the actual benefit associated with the sale of excess energy.</w:t>
      </w:r>
    </w:p>
    <w:p>
      <w:pPr>
        <w:pStyle w:val="Department"/>
        <w:rPr>
          <w:rFonts w:ascii="Times New Roman" w:hAnsi="Times New Roman" w:cs="Times New Roman"/>
          <w:sz w:val="24"/>
        </w:rPr>
      </w:pPr>
      <w:r>
        <w:rPr>
          <w:rFonts w:cs="Times New Roman" w:ascii="Times New Roman" w:hAnsi="Times New Roman"/>
          <w:sz w:val="24"/>
        </w:rPr>
      </w:r>
    </w:p>
    <w:p>
      <w:pPr>
        <w:pStyle w:val="Department"/>
        <w:rPr>
          <w:rFonts w:ascii="Times New Roman" w:hAnsi="Times New Roman" w:cs="Times New Roman"/>
          <w:sz w:val="24"/>
          <w:u w:val="single"/>
        </w:rPr>
      </w:pPr>
      <w:r>
        <w:rPr>
          <w:rFonts w:cs="Times New Roman" w:ascii="Times New Roman" w:hAnsi="Times New Roman"/>
          <w:sz w:val="24"/>
          <w:u w:val="single"/>
        </w:rPr>
        <w:t>Sections 2.1 and 2.2</w:t>
      </w:r>
    </w:p>
    <w:p>
      <w:pPr>
        <w:pStyle w:val="Department"/>
        <w:rPr>
          <w:rFonts w:ascii="Times New Roman" w:hAnsi="Times New Roman" w:cs="Times New Roman"/>
          <w:sz w:val="24"/>
          <w:u w:val="single"/>
        </w:rPr>
      </w:pPr>
      <w:r>
        <w:rPr>
          <w:rFonts w:cs="Times New Roman" w:ascii="Times New Roman" w:hAnsi="Times New Roman"/>
          <w:sz w:val="24"/>
          <w:u w:val="single"/>
        </w:rPr>
      </w:r>
    </w:p>
    <w:p>
      <w:pPr>
        <w:pStyle w:val="Department"/>
        <w:rPr>
          <w:rFonts w:ascii="Times New Roman" w:hAnsi="Times New Roman" w:cs="Times New Roman"/>
          <w:sz w:val="24"/>
        </w:rPr>
      </w:pPr>
      <w:r>
        <w:rPr>
          <w:rFonts w:cs="Times New Roman" w:ascii="Times New Roman" w:hAnsi="Times New Roman"/>
          <w:sz w:val="24"/>
        </w:rPr>
        <w:t xml:space="preserve">Enron refers the IAT to its comments above in the Introduction in which Enron expresses a need for the IAT to ensure the PPA reflects the change in the Alberta market structure away from a mandatory pool model.  Sections 2.1 and 2.2  envision the buyer offering the Excess Energy into the Pool on behalf of the owner.  Amendments to these sections must be made to reflect a buyer’s ability to enter into a direct sale agreement for the sale of energy received pursuant to the terms of the PPA. </w:t>
      </w:r>
    </w:p>
    <w:p>
      <w:pPr>
        <w:pStyle w:val="Department"/>
        <w:rPr>
          <w:rFonts w:ascii="Times New Roman" w:hAnsi="Times New Roman" w:cs="Times New Roman"/>
          <w:sz w:val="24"/>
        </w:rPr>
      </w:pPr>
      <w:r>
        <w:rPr>
          <w:rFonts w:cs="Times New Roman" w:ascii="Times New Roman" w:hAnsi="Times New Roman"/>
          <w:sz w:val="24"/>
        </w:rPr>
      </w:r>
    </w:p>
    <w:p>
      <w:pPr>
        <w:pStyle w:val="Department"/>
        <w:rPr>
          <w:rFonts w:ascii="Times New Roman" w:hAnsi="Times New Roman" w:cs="Times New Roman"/>
          <w:sz w:val="24"/>
          <w:u w:val="single"/>
        </w:rPr>
      </w:pPr>
      <w:r>
        <w:rPr>
          <w:rFonts w:cs="Times New Roman" w:ascii="Times New Roman" w:hAnsi="Times New Roman"/>
          <w:sz w:val="24"/>
          <w:u w:val="single"/>
        </w:rPr>
        <w:t>Section 4</w:t>
      </w:r>
    </w:p>
    <w:p>
      <w:pPr>
        <w:pStyle w:val="Department"/>
        <w:rPr>
          <w:rFonts w:ascii="Times New Roman" w:hAnsi="Times New Roman" w:cs="Times New Roman"/>
          <w:sz w:val="24"/>
          <w:u w:val="single"/>
        </w:rPr>
      </w:pPr>
      <w:r>
        <w:rPr>
          <w:rFonts w:cs="Times New Roman" w:ascii="Times New Roman" w:hAnsi="Times New Roman"/>
          <w:sz w:val="24"/>
          <w:u w:val="single"/>
        </w:rPr>
      </w:r>
    </w:p>
    <w:p>
      <w:pPr>
        <w:pStyle w:val="Department"/>
        <w:rPr>
          <w:rFonts w:ascii="Times New Roman" w:hAnsi="Times New Roman" w:cs="Times New Roman"/>
          <w:sz w:val="24"/>
        </w:rPr>
      </w:pPr>
      <w:r>
        <w:rPr>
          <w:rFonts w:cs="Times New Roman" w:ascii="Times New Roman" w:hAnsi="Times New Roman"/>
          <w:sz w:val="24"/>
        </w:rPr>
        <w:t>Enron supports the content and structure of the draft provisions relating to the development of increased capacity.</w:t>
      </w:r>
    </w:p>
    <w:p>
      <w:pPr>
        <w:pStyle w:val="Department"/>
        <w:rPr>
          <w:rFonts w:ascii="Times New Roman" w:hAnsi="Times New Roman" w:cs="Times New Roman"/>
          <w:sz w:val="24"/>
        </w:rPr>
      </w:pPr>
      <w:r>
        <w:rPr>
          <w:rFonts w:cs="Times New Roman" w:ascii="Times New Roman" w:hAnsi="Times New Roman"/>
          <w:sz w:val="24"/>
        </w:rPr>
      </w:r>
    </w:p>
    <w:p>
      <w:pPr>
        <w:pStyle w:val="Department"/>
        <w:rPr>
          <w:rFonts w:ascii="Times New Roman" w:hAnsi="Times New Roman" w:cs="Times New Roman"/>
          <w:b/>
          <w:sz w:val="24"/>
          <w:u w:val="single"/>
        </w:rPr>
      </w:pPr>
      <w:r>
        <w:rPr>
          <w:rFonts w:cs="Times New Roman" w:ascii="Times New Roman" w:hAnsi="Times New Roman"/>
          <w:b/>
          <w:sz w:val="24"/>
          <w:u w:val="single"/>
        </w:rPr>
        <w:t>Schedule F – System Support Services</w:t>
      </w:r>
    </w:p>
    <w:p>
      <w:pPr>
        <w:pStyle w:val="Department"/>
        <w:rPr>
          <w:rFonts w:ascii="Times New Roman" w:hAnsi="Times New Roman" w:cs="Times New Roman"/>
          <w:b/>
          <w:sz w:val="24"/>
          <w:u w:val="single"/>
        </w:rPr>
      </w:pPr>
      <w:r>
        <w:rPr>
          <w:rFonts w:cs="Times New Roman" w:ascii="Times New Roman" w:hAnsi="Times New Roman"/>
          <w:b/>
          <w:sz w:val="24"/>
          <w:u w:val="single"/>
        </w:rPr>
      </w:r>
    </w:p>
    <w:p>
      <w:pPr>
        <w:pStyle w:val="Department"/>
        <w:rPr>
          <w:rFonts w:ascii="Times New Roman" w:hAnsi="Times New Roman" w:cs="Times New Roman"/>
          <w:sz w:val="24"/>
          <w:u w:val="single"/>
        </w:rPr>
      </w:pPr>
      <w:r>
        <w:rPr>
          <w:rFonts w:cs="Times New Roman" w:ascii="Times New Roman" w:hAnsi="Times New Roman"/>
          <w:sz w:val="24"/>
          <w:u w:val="single"/>
        </w:rPr>
        <w:t>Section 2.1</w:t>
      </w:r>
    </w:p>
    <w:p>
      <w:pPr>
        <w:pStyle w:val="Department"/>
        <w:rPr>
          <w:rFonts w:ascii="Times New Roman" w:hAnsi="Times New Roman" w:cs="Times New Roman"/>
          <w:sz w:val="24"/>
          <w:u w:val="single"/>
        </w:rPr>
      </w:pPr>
      <w:r>
        <w:rPr>
          <w:rFonts w:cs="Times New Roman" w:ascii="Times New Roman" w:hAnsi="Times New Roman"/>
          <w:sz w:val="24"/>
          <w:u w:val="single"/>
        </w:rPr>
      </w:r>
    </w:p>
    <w:p>
      <w:pPr>
        <w:pStyle w:val="Department"/>
        <w:rPr>
          <w:rFonts w:ascii="Times New Roman" w:hAnsi="Times New Roman" w:cs="Times New Roman"/>
          <w:sz w:val="24"/>
        </w:rPr>
      </w:pPr>
      <w:r>
        <w:rPr>
          <w:rFonts w:cs="Times New Roman" w:ascii="Times New Roman" w:hAnsi="Times New Roman"/>
          <w:sz w:val="24"/>
        </w:rPr>
        <w:t>It is Enron’s view that it will be difficult to develop a market for reactive power in Alberta, given the very localized needs for reactive support.  The actual reactive power needs are such that very few generators are able to provide the reactive support needed from generation sources.  In view of this, Enron does not support the proposal to pass reactive support services through to the PPA buyer.  Enron advocates a model that would have the Transmission Administrator contract directly for reactive support with the owners.  This is not the case for the other system support services.  Enron views them as being tightly coupled with the energy market and supports the provision of them to the Transmission Administrator through the buyer.</w:t>
      </w:r>
    </w:p>
    <w:p>
      <w:pPr>
        <w:pStyle w:val="Department"/>
        <w:rPr>
          <w:rFonts w:ascii="Times New Roman" w:hAnsi="Times New Roman" w:cs="Times New Roman"/>
          <w:sz w:val="24"/>
        </w:rPr>
      </w:pPr>
      <w:r>
        <w:rPr>
          <w:rFonts w:cs="Times New Roman" w:ascii="Times New Roman" w:hAnsi="Times New Roman"/>
          <w:sz w:val="24"/>
        </w:rPr>
      </w:r>
    </w:p>
    <w:p>
      <w:pPr>
        <w:pStyle w:val="Department"/>
        <w:rPr>
          <w:rFonts w:ascii="Times New Roman" w:hAnsi="Times New Roman" w:cs="Times New Roman"/>
          <w:sz w:val="24"/>
          <w:u w:val="single"/>
        </w:rPr>
      </w:pPr>
      <w:r>
        <w:rPr>
          <w:rFonts w:cs="Times New Roman" w:ascii="Times New Roman" w:hAnsi="Times New Roman"/>
          <w:sz w:val="24"/>
          <w:u w:val="single"/>
        </w:rPr>
        <w:t>Section 2.2</w:t>
      </w:r>
    </w:p>
    <w:p>
      <w:pPr>
        <w:pStyle w:val="Department"/>
        <w:rPr>
          <w:rFonts w:ascii="Times New Roman" w:hAnsi="Times New Roman" w:cs="Times New Roman"/>
          <w:sz w:val="24"/>
          <w:u w:val="single"/>
        </w:rPr>
      </w:pPr>
      <w:r>
        <w:rPr>
          <w:rFonts w:cs="Times New Roman" w:ascii="Times New Roman" w:hAnsi="Times New Roman"/>
          <w:sz w:val="24"/>
          <w:u w:val="single"/>
        </w:rPr>
      </w:r>
    </w:p>
    <w:p>
      <w:pPr>
        <w:pStyle w:val="Department"/>
        <w:rPr>
          <w:rFonts w:ascii="Times New Roman" w:hAnsi="Times New Roman" w:cs="Times New Roman"/>
          <w:sz w:val="24"/>
        </w:rPr>
      </w:pPr>
      <w:r>
        <w:rPr>
          <w:rFonts w:cs="Times New Roman" w:ascii="Times New Roman" w:hAnsi="Times New Roman"/>
          <w:sz w:val="24"/>
        </w:rPr>
        <w:t xml:space="preserve">Enron supports a model under which payment for opportunity costs associated with the provision of dynamic reactive support by generators operating outside of the specified power factor range.  Enron does not support the proposal that payment for such costs be handled in concert with energy payments.  Payment for the opportunity costs associated with  reactive power properly belong in the Systems Supports Services Schedule.  </w:t>
      </w:r>
    </w:p>
    <w:p>
      <w:pPr>
        <w:pStyle w:val="Department"/>
        <w:rPr>
          <w:rFonts w:ascii="Times New Roman" w:hAnsi="Times New Roman" w:cs="Times New Roman"/>
          <w:sz w:val="24"/>
        </w:rPr>
      </w:pPr>
      <w:r>
        <w:rPr>
          <w:rFonts w:cs="Times New Roman" w:ascii="Times New Roman" w:hAnsi="Times New Roman"/>
          <w:sz w:val="24"/>
        </w:rPr>
      </w:r>
    </w:p>
    <w:p>
      <w:pPr>
        <w:pStyle w:val="Department"/>
        <w:rPr>
          <w:rFonts w:ascii="Times New Roman" w:hAnsi="Times New Roman" w:cs="Times New Roman"/>
          <w:b/>
          <w:sz w:val="24"/>
          <w:u w:val="single"/>
        </w:rPr>
      </w:pPr>
      <w:r>
        <w:rPr>
          <w:rFonts w:cs="Times New Roman" w:ascii="Times New Roman" w:hAnsi="Times New Roman"/>
          <w:b/>
          <w:sz w:val="24"/>
          <w:u w:val="single"/>
        </w:rPr>
        <w:t>Schedule H – Operating Characteristics Charges</w:t>
      </w:r>
    </w:p>
    <w:p>
      <w:pPr>
        <w:pStyle w:val="Department"/>
        <w:rPr>
          <w:rFonts w:ascii="Times New Roman" w:hAnsi="Times New Roman" w:cs="Times New Roman"/>
          <w:b/>
          <w:sz w:val="24"/>
          <w:u w:val="single"/>
        </w:rPr>
      </w:pPr>
      <w:r>
        <w:rPr>
          <w:rFonts w:cs="Times New Roman" w:ascii="Times New Roman" w:hAnsi="Times New Roman"/>
          <w:b/>
          <w:sz w:val="24"/>
          <w:u w:val="single"/>
        </w:rPr>
      </w:r>
    </w:p>
    <w:p>
      <w:pPr>
        <w:pStyle w:val="Department"/>
        <w:rPr>
          <w:rFonts w:ascii="Times New Roman" w:hAnsi="Times New Roman" w:cs="Times New Roman"/>
          <w:sz w:val="24"/>
          <w:u w:val="single"/>
        </w:rPr>
      </w:pPr>
      <w:r>
        <w:rPr>
          <w:rFonts w:cs="Times New Roman" w:ascii="Times New Roman" w:hAnsi="Times New Roman"/>
          <w:sz w:val="24"/>
          <w:u w:val="single"/>
        </w:rPr>
        <w:t xml:space="preserve">General </w:t>
      </w:r>
    </w:p>
    <w:p>
      <w:pPr>
        <w:pStyle w:val="Department"/>
        <w:rPr>
          <w:rFonts w:ascii="Times New Roman" w:hAnsi="Times New Roman" w:cs="Times New Roman"/>
          <w:b/>
          <w:sz w:val="24"/>
          <w:u w:val="single"/>
        </w:rPr>
      </w:pPr>
      <w:r>
        <w:rPr>
          <w:rFonts w:cs="Times New Roman" w:ascii="Times New Roman" w:hAnsi="Times New Roman"/>
          <w:b/>
          <w:sz w:val="24"/>
          <w:u w:val="single"/>
        </w:rPr>
      </w:r>
    </w:p>
    <w:p>
      <w:pPr>
        <w:pStyle w:val="Department"/>
        <w:rPr>
          <w:rFonts w:ascii="Times New Roman" w:hAnsi="Times New Roman" w:cs="Times New Roman"/>
          <w:sz w:val="24"/>
        </w:rPr>
      </w:pPr>
      <w:r>
        <w:rPr>
          <w:rFonts w:cs="Times New Roman" w:ascii="Times New Roman" w:hAnsi="Times New Roman"/>
          <w:sz w:val="24"/>
        </w:rPr>
        <w:t>Enron supports the model incorporated into the draft PPA that relies on a simple rebate scheme to compensate buyers if Operating Characteristics are degraded.</w:t>
      </w:r>
    </w:p>
    <w:p>
      <w:pPr>
        <w:pStyle w:val="Department"/>
        <w:rPr>
          <w:rFonts w:ascii="Times New Roman" w:hAnsi="Times New Roman" w:cs="Times New Roman"/>
          <w:sz w:val="24"/>
        </w:rPr>
      </w:pPr>
      <w:r>
        <w:rPr>
          <w:rFonts w:cs="Times New Roman" w:ascii="Times New Roman" w:hAnsi="Times New Roman"/>
          <w:sz w:val="24"/>
        </w:rPr>
      </w:r>
    </w:p>
    <w:p>
      <w:pPr>
        <w:pStyle w:val="Department"/>
        <w:rPr>
          <w:rFonts w:ascii="Times New Roman" w:hAnsi="Times New Roman" w:cs="Times New Roman"/>
          <w:sz w:val="24"/>
          <w:u w:val="single"/>
        </w:rPr>
      </w:pPr>
      <w:r>
        <w:rPr>
          <w:rFonts w:cs="Times New Roman" w:ascii="Times New Roman" w:hAnsi="Times New Roman"/>
          <w:sz w:val="24"/>
          <w:u w:val="single"/>
        </w:rPr>
        <w:t>Section 3.2</w:t>
      </w:r>
    </w:p>
    <w:p>
      <w:pPr>
        <w:pStyle w:val="Department"/>
        <w:rPr>
          <w:rFonts w:ascii="Times New Roman" w:hAnsi="Times New Roman" w:cs="Times New Roman"/>
          <w:sz w:val="24"/>
          <w:u w:val="single"/>
        </w:rPr>
      </w:pPr>
      <w:r>
        <w:rPr>
          <w:rFonts w:cs="Times New Roman" w:ascii="Times New Roman" w:hAnsi="Times New Roman"/>
          <w:sz w:val="24"/>
          <w:u w:val="single"/>
        </w:rPr>
      </w:r>
    </w:p>
    <w:p>
      <w:pPr>
        <w:pStyle w:val="Department"/>
        <w:rPr>
          <w:rFonts w:ascii="Times New Roman" w:hAnsi="Times New Roman" w:cs="Times New Roman"/>
          <w:sz w:val="24"/>
        </w:rPr>
      </w:pPr>
      <w:r>
        <w:rPr>
          <w:rFonts w:cs="Times New Roman" w:ascii="Times New Roman" w:hAnsi="Times New Roman"/>
          <w:sz w:val="24"/>
        </w:rPr>
        <w:t xml:space="preserve">In view of the fact that there is no gaming potential for either the owner or the buyer in relation to the Operating Characteristics, Enron advocates the use of the actual pool price rather than a rolling average pool price.  This would provide a more correct price signal to the owner to maintain the unit Operating Characteristics during times of tight capacity.  It also provides an accurate level of compensation to the buyer that is consistent with the financial loss the buyer would incur during a high pool price hour in which a degradation of Operating Characteristics occurs.  </w:t>
      </w:r>
    </w:p>
    <w:p>
      <w:pPr>
        <w:pStyle w:val="Department"/>
        <w:rPr>
          <w:rFonts w:ascii="Times New Roman" w:hAnsi="Times New Roman" w:cs="Times New Roman"/>
          <w:sz w:val="24"/>
        </w:rPr>
      </w:pPr>
      <w:r>
        <w:rPr>
          <w:rFonts w:cs="Times New Roman" w:ascii="Times New Roman" w:hAnsi="Times New Roman"/>
          <w:sz w:val="24"/>
        </w:rPr>
      </w:r>
    </w:p>
    <w:p>
      <w:pPr>
        <w:pStyle w:val="Department"/>
        <w:rPr>
          <w:rFonts w:ascii="Times New Roman" w:hAnsi="Times New Roman" w:cs="Times New Roman"/>
          <w:b/>
          <w:sz w:val="24"/>
          <w:u w:val="single"/>
        </w:rPr>
      </w:pPr>
      <w:r>
        <w:rPr>
          <w:rFonts w:cs="Times New Roman" w:ascii="Times New Roman" w:hAnsi="Times New Roman"/>
          <w:b/>
          <w:sz w:val="24"/>
          <w:u w:val="single"/>
        </w:rPr>
        <w:t xml:space="preserve">Schedule I – Dispatch Obligations and Protocols </w:t>
      </w:r>
    </w:p>
    <w:p>
      <w:pPr>
        <w:pStyle w:val="Department"/>
        <w:rPr>
          <w:rFonts w:ascii="Times New Roman" w:hAnsi="Times New Roman" w:cs="Times New Roman"/>
          <w:b/>
          <w:sz w:val="24"/>
          <w:u w:val="single"/>
        </w:rPr>
      </w:pPr>
      <w:r>
        <w:rPr>
          <w:rFonts w:cs="Times New Roman" w:ascii="Times New Roman" w:hAnsi="Times New Roman"/>
          <w:b/>
          <w:sz w:val="24"/>
          <w:u w:val="single"/>
        </w:rPr>
      </w:r>
    </w:p>
    <w:p>
      <w:pPr>
        <w:pStyle w:val="Department"/>
        <w:rPr>
          <w:rFonts w:ascii="Times New Roman" w:hAnsi="Times New Roman" w:cs="Times New Roman"/>
          <w:sz w:val="24"/>
          <w:u w:val="single"/>
        </w:rPr>
      </w:pPr>
      <w:r>
        <w:rPr>
          <w:rFonts w:cs="Times New Roman" w:ascii="Times New Roman" w:hAnsi="Times New Roman"/>
          <w:sz w:val="24"/>
          <w:u w:val="single"/>
        </w:rPr>
        <w:t>General</w:t>
      </w:r>
    </w:p>
    <w:p>
      <w:pPr>
        <w:pStyle w:val="Department"/>
        <w:rPr>
          <w:rFonts w:ascii="Times New Roman" w:hAnsi="Times New Roman" w:cs="Times New Roman"/>
          <w:sz w:val="24"/>
          <w:u w:val="single"/>
        </w:rPr>
      </w:pPr>
      <w:r>
        <w:rPr>
          <w:rFonts w:cs="Times New Roman" w:ascii="Times New Roman" w:hAnsi="Times New Roman"/>
          <w:sz w:val="24"/>
          <w:u w:val="single"/>
        </w:rPr>
      </w:r>
    </w:p>
    <w:p>
      <w:pPr>
        <w:pStyle w:val="Department"/>
        <w:rPr>
          <w:rFonts w:ascii="Times New Roman" w:hAnsi="Times New Roman" w:cs="Times New Roman"/>
          <w:sz w:val="24"/>
        </w:rPr>
      </w:pPr>
      <w:r>
        <w:rPr>
          <w:rFonts w:cs="Times New Roman" w:ascii="Times New Roman" w:hAnsi="Times New Roman"/>
          <w:sz w:val="24"/>
        </w:rPr>
        <w:t>This schedule should also be revised to reflect the introduction of physical bilateral contracting in Alberta.</w:t>
      </w:r>
    </w:p>
    <w:p>
      <w:pPr>
        <w:pStyle w:val="Department"/>
        <w:rPr>
          <w:rFonts w:ascii="Times New Roman" w:hAnsi="Times New Roman" w:cs="Times New Roman"/>
          <w:sz w:val="24"/>
        </w:rPr>
      </w:pPr>
      <w:r>
        <w:rPr>
          <w:rFonts w:cs="Times New Roman" w:ascii="Times New Roman" w:hAnsi="Times New Roman"/>
          <w:sz w:val="24"/>
        </w:rPr>
      </w:r>
    </w:p>
    <w:p>
      <w:pPr>
        <w:pStyle w:val="Department"/>
        <w:rPr>
          <w:rFonts w:ascii="Times New Roman" w:hAnsi="Times New Roman" w:cs="Times New Roman"/>
          <w:b/>
          <w:sz w:val="24"/>
          <w:u w:val="single"/>
        </w:rPr>
      </w:pPr>
      <w:r>
        <w:rPr>
          <w:rFonts w:cs="Times New Roman" w:ascii="Times New Roman" w:hAnsi="Times New Roman"/>
          <w:b/>
          <w:sz w:val="24"/>
          <w:u w:val="single"/>
        </w:rPr>
        <w:t>Schedule K – Termination Payments</w:t>
      </w:r>
    </w:p>
    <w:p>
      <w:pPr>
        <w:pStyle w:val="Department"/>
        <w:rPr>
          <w:rFonts w:ascii="Times New Roman" w:hAnsi="Times New Roman" w:cs="Times New Roman"/>
          <w:b/>
          <w:sz w:val="24"/>
          <w:u w:val="single"/>
        </w:rPr>
      </w:pPr>
      <w:r>
        <w:rPr>
          <w:rFonts w:cs="Times New Roman" w:ascii="Times New Roman" w:hAnsi="Times New Roman"/>
          <w:b/>
          <w:sz w:val="24"/>
          <w:u w:val="single"/>
        </w:rPr>
      </w:r>
    </w:p>
    <w:p>
      <w:pPr>
        <w:pStyle w:val="Department"/>
        <w:rPr>
          <w:rFonts w:ascii="Times New Roman" w:hAnsi="Times New Roman" w:cs="Times New Roman"/>
          <w:sz w:val="24"/>
          <w:u w:val="single"/>
        </w:rPr>
      </w:pPr>
      <w:r>
        <w:rPr>
          <w:rFonts w:cs="Times New Roman" w:ascii="Times New Roman" w:hAnsi="Times New Roman"/>
          <w:sz w:val="24"/>
          <w:u w:val="single"/>
        </w:rPr>
        <w:t>General</w:t>
      </w:r>
    </w:p>
    <w:p>
      <w:pPr>
        <w:pStyle w:val="Department"/>
        <w:rPr>
          <w:rFonts w:ascii="Times New Roman" w:hAnsi="Times New Roman" w:cs="Times New Roman"/>
          <w:sz w:val="24"/>
          <w:u w:val="single"/>
        </w:rPr>
      </w:pPr>
      <w:r>
        <w:rPr>
          <w:rFonts w:cs="Times New Roman" w:ascii="Times New Roman" w:hAnsi="Times New Roman"/>
          <w:sz w:val="24"/>
          <w:u w:val="single"/>
        </w:rPr>
      </w:r>
    </w:p>
    <w:p>
      <w:pPr>
        <w:pStyle w:val="Department"/>
        <w:rPr>
          <w:rFonts w:ascii="Times New Roman" w:hAnsi="Times New Roman" w:cs="Times New Roman"/>
          <w:sz w:val="24"/>
        </w:rPr>
      </w:pPr>
      <w:r>
        <w:rPr>
          <w:rFonts w:cs="Times New Roman" w:ascii="Times New Roman" w:hAnsi="Times New Roman"/>
          <w:sz w:val="24"/>
        </w:rPr>
        <w:t xml:space="preserve">Enron understands that the Termination Provisions are currently under review by the IAT and the IAT’s most recent thinking on this issue is found in the Discussion Paper on PPA “Backstop” Role of the Balancing Pool.  </w:t>
      </w:r>
    </w:p>
    <w:p>
      <w:pPr>
        <w:pStyle w:val="Department"/>
        <w:rPr>
          <w:rFonts w:ascii="Times New Roman" w:hAnsi="Times New Roman" w:cs="Times New Roman"/>
          <w:sz w:val="24"/>
        </w:rPr>
      </w:pPr>
      <w:r>
        <w:rPr>
          <w:rFonts w:cs="Times New Roman" w:ascii="Times New Roman" w:hAnsi="Times New Roman"/>
          <w:sz w:val="24"/>
        </w:rPr>
      </w:r>
    </w:p>
    <w:p>
      <w:pPr>
        <w:pStyle w:val="Department"/>
        <w:rPr>
          <w:rFonts w:ascii="Times New Roman" w:hAnsi="Times New Roman" w:cs="Times New Roman"/>
          <w:sz w:val="24"/>
        </w:rPr>
      </w:pPr>
      <w:r>
        <w:rPr>
          <w:rFonts w:cs="Times New Roman" w:ascii="Times New Roman" w:hAnsi="Times New Roman"/>
          <w:sz w:val="24"/>
        </w:rPr>
        <w:t xml:space="preserve">A key definition in relation to the issue of termination is “NPV”.  Enron’s advocates a definition of NPV that is consistent with the Section 4.2 of the Master Energy Purchase and Sale Agreement (attached as Appendix A).  Under this definition, the NPV represents a mark-to-market valuation of the remaining term of the PPA which includes a determination of the market-based revenue that would have otherwise been earned if not for the default and then deducts the avoided costs (including the auction payment) of the non-defaulting party.  The resulting cash flow is then discounted to reflect a NPV of the loss incurred by the non-defaulting party as of the date of the default. </w:t>
      </w:r>
    </w:p>
    <w:p>
      <w:pPr>
        <w:pStyle w:val="Department"/>
        <w:rPr>
          <w:rFonts w:ascii="Times New Roman" w:hAnsi="Times New Roman" w:cs="Times New Roman"/>
          <w:sz w:val="24"/>
        </w:rPr>
      </w:pPr>
      <w:r>
        <w:rPr>
          <w:rFonts w:cs="Times New Roman" w:ascii="Times New Roman" w:hAnsi="Times New Roman"/>
          <w:sz w:val="24"/>
        </w:rPr>
      </w:r>
    </w:p>
    <w:p>
      <w:pPr>
        <w:pStyle w:val="Department"/>
        <w:rPr>
          <w:rFonts w:ascii="Times New Roman" w:hAnsi="Times New Roman" w:cs="Times New Roman"/>
          <w:sz w:val="24"/>
          <w:u w:val="single"/>
        </w:rPr>
      </w:pPr>
      <w:r>
        <w:rPr>
          <w:rFonts w:cs="Times New Roman" w:ascii="Times New Roman" w:hAnsi="Times New Roman"/>
          <w:sz w:val="24"/>
          <w:u w:val="single"/>
        </w:rPr>
        <w:t>Role of the Balancing Pool on Termination</w:t>
      </w:r>
    </w:p>
    <w:p>
      <w:pPr>
        <w:pStyle w:val="Department"/>
        <w:rPr>
          <w:rFonts w:ascii="Times New Roman" w:hAnsi="Times New Roman" w:cs="Times New Roman"/>
          <w:sz w:val="24"/>
          <w:u w:val="single"/>
        </w:rPr>
      </w:pPr>
      <w:r>
        <w:rPr>
          <w:rFonts w:cs="Times New Roman" w:ascii="Times New Roman" w:hAnsi="Times New Roman"/>
          <w:sz w:val="24"/>
          <w:u w:val="single"/>
        </w:rPr>
      </w:r>
    </w:p>
    <w:p>
      <w:pPr>
        <w:pStyle w:val="Department"/>
        <w:rPr>
          <w:rFonts w:ascii="Times New Roman" w:hAnsi="Times New Roman" w:cs="Times New Roman"/>
          <w:sz w:val="24"/>
        </w:rPr>
      </w:pPr>
      <w:r>
        <w:rPr>
          <w:rFonts w:cs="Times New Roman" w:ascii="Times New Roman" w:hAnsi="Times New Roman"/>
          <w:sz w:val="24"/>
        </w:rPr>
        <w:t xml:space="preserve">Enron supports the options that the IAT has described that should be available to the Balancing Pool in the event of Termination.  Enron advocates a variation to the order and priority of the options that would designate the re-auction option as the preferred alternative to the Balancing Pool putting in place a Financial Instrument.  In all cases of termination the Balancing Pool should be required to re-auction the PPA as soon as it is reasonably able to do so unless it satisfies the AEUB that it is preferable for the Balancing Pool to put a Financial Instrument in place.  </w:t>
      </w:r>
    </w:p>
    <w:p>
      <w:pPr>
        <w:pStyle w:val="Department"/>
        <w:rPr>
          <w:rFonts w:ascii="Times New Roman" w:hAnsi="Times New Roman" w:cs="Times New Roman"/>
          <w:sz w:val="24"/>
        </w:rPr>
      </w:pPr>
      <w:r>
        <w:rPr>
          <w:rFonts w:cs="Times New Roman" w:ascii="Times New Roman" w:hAnsi="Times New Roman"/>
          <w:sz w:val="24"/>
        </w:rPr>
      </w:r>
    </w:p>
    <w:p>
      <w:pPr>
        <w:pStyle w:val="Department"/>
        <w:rPr>
          <w:rFonts w:ascii="Times New Roman" w:hAnsi="Times New Roman" w:cs="Times New Roman"/>
          <w:sz w:val="24"/>
          <w:u w:val="single"/>
        </w:rPr>
      </w:pPr>
      <w:r>
        <w:rPr>
          <w:rFonts w:cs="Times New Roman" w:ascii="Times New Roman" w:hAnsi="Times New Roman"/>
          <w:sz w:val="24"/>
          <w:u w:val="single"/>
        </w:rPr>
        <w:t>Role of the Balancing Pool During a Force Majeure Event</w:t>
      </w:r>
    </w:p>
    <w:p>
      <w:pPr>
        <w:pStyle w:val="Department"/>
        <w:rPr>
          <w:rFonts w:ascii="Times New Roman" w:hAnsi="Times New Roman" w:cs="Times New Roman"/>
          <w:sz w:val="24"/>
          <w:u w:val="single"/>
        </w:rPr>
      </w:pPr>
      <w:r>
        <w:rPr>
          <w:rFonts w:cs="Times New Roman" w:ascii="Times New Roman" w:hAnsi="Times New Roman"/>
          <w:sz w:val="24"/>
          <w:u w:val="single"/>
        </w:rPr>
      </w:r>
    </w:p>
    <w:p>
      <w:pPr>
        <w:pStyle w:val="Department"/>
        <w:rPr>
          <w:rFonts w:ascii="Times New Roman" w:hAnsi="Times New Roman" w:cs="Times New Roman"/>
          <w:sz w:val="24"/>
        </w:rPr>
      </w:pPr>
      <w:r>
        <w:rPr>
          <w:rFonts w:cs="Times New Roman" w:ascii="Times New Roman" w:hAnsi="Times New Roman"/>
          <w:sz w:val="24"/>
        </w:rPr>
        <w:t xml:space="preserve">Enron supports the proposal that during a Force Majeure event the buyer would be relieved of its fixed cost payment obligations and the Balancing Pool would assume these obligations.  In addition, Enron advocates the inclusion of a provision, which would entitle a buyer to a refund of a proportional amount of the auction price paid relative to the duration of the Force Majeure event.  In the absence of such a provision, a negative bid buyer would receive a greater benefit than a positive bid buyer by virtue of the fact that its auction proceeds payment and fixed cost payment would be suspended for the duration of the Force Majeure event. </w:t>
      </w:r>
    </w:p>
    <w:p>
      <w:pPr>
        <w:pStyle w:val="Department"/>
        <w:rPr>
          <w:rFonts w:ascii="Times New Roman" w:hAnsi="Times New Roman" w:cs="Times New Roman"/>
          <w:sz w:val="24"/>
        </w:rPr>
      </w:pPr>
      <w:r>
        <w:rPr>
          <w:rFonts w:cs="Times New Roman" w:ascii="Times New Roman" w:hAnsi="Times New Roman"/>
          <w:sz w:val="24"/>
        </w:rPr>
      </w:r>
    </w:p>
    <w:p>
      <w:pPr>
        <w:pStyle w:val="Department"/>
        <w:rPr>
          <w:rFonts w:ascii="Times New Roman" w:hAnsi="Times New Roman" w:cs="Times New Roman"/>
          <w:sz w:val="24"/>
        </w:rPr>
      </w:pPr>
      <w:r>
        <w:rPr>
          <w:rFonts w:cs="Times New Roman" w:ascii="Times New Roman" w:hAnsi="Times New Roman"/>
          <w:sz w:val="24"/>
        </w:rPr>
        <w:t>Enron articulated its views on the Balancing Pool’s role in the event of a change in law in its comments under Article 4.3 – Change in Law above.</w:t>
      </w:r>
    </w:p>
    <w:p>
      <w:pPr>
        <w:pStyle w:val="Department"/>
        <w:rPr>
          <w:rFonts w:ascii="Times New Roman" w:hAnsi="Times New Roman" w:cs="Times New Roman"/>
          <w:sz w:val="24"/>
        </w:rPr>
      </w:pPr>
      <w:r>
        <w:rPr>
          <w:rFonts w:cs="Times New Roman" w:ascii="Times New Roman" w:hAnsi="Times New Roman"/>
          <w:sz w:val="24"/>
        </w:rPr>
      </w:r>
    </w:p>
    <w:p>
      <w:pPr>
        <w:pStyle w:val="Department"/>
        <w:rPr>
          <w:rFonts w:ascii="Times New Roman" w:hAnsi="Times New Roman" w:cs="Times New Roman"/>
          <w:sz w:val="24"/>
          <w:u w:val="single"/>
        </w:rPr>
      </w:pPr>
      <w:r>
        <w:rPr>
          <w:rFonts w:cs="Times New Roman" w:ascii="Times New Roman" w:hAnsi="Times New Roman"/>
          <w:sz w:val="24"/>
          <w:u w:val="single"/>
        </w:rPr>
      </w:r>
    </w:p>
    <w:p>
      <w:pPr>
        <w:pStyle w:val="Department"/>
        <w:rPr>
          <w:rFonts w:ascii="Times New Roman" w:hAnsi="Times New Roman" w:cs="Times New Roman"/>
          <w:sz w:val="24"/>
          <w:u w:val="single"/>
        </w:rPr>
      </w:pPr>
      <w:r>
        <w:rPr>
          <w:rFonts w:cs="Times New Roman" w:ascii="Times New Roman" w:hAnsi="Times New Roman"/>
          <w:sz w:val="24"/>
          <w:u w:val="single"/>
        </w:rPr>
      </w:r>
    </w:p>
    <w:p>
      <w:pPr>
        <w:pStyle w:val="Department"/>
        <w:rPr>
          <w:rFonts w:ascii="Times New Roman" w:hAnsi="Times New Roman" w:cs="Times New Roman"/>
          <w:sz w:val="24"/>
          <w:u w:val="single"/>
        </w:rPr>
      </w:pPr>
      <w:r>
        <w:rPr>
          <w:rFonts w:cs="Times New Roman" w:ascii="Times New Roman" w:hAnsi="Times New Roman"/>
          <w:sz w:val="24"/>
          <w:u w:val="single"/>
        </w:rPr>
      </w:r>
    </w:p>
    <w:p>
      <w:pPr>
        <w:pStyle w:val="Department"/>
        <w:rPr>
          <w:rFonts w:ascii="Times New Roman" w:hAnsi="Times New Roman" w:cs="Times New Roman"/>
          <w:sz w:val="24"/>
          <w:u w:val="single"/>
        </w:rPr>
      </w:pPr>
      <w:r>
        <w:rPr>
          <w:rFonts w:cs="Times New Roman" w:ascii="Times New Roman" w:hAnsi="Times New Roman"/>
          <w:sz w:val="24"/>
          <w:u w:val="single"/>
        </w:rPr>
      </w:r>
    </w:p>
    <w:p>
      <w:pPr>
        <w:pStyle w:val="Department"/>
        <w:rPr>
          <w:rFonts w:ascii="Times New Roman" w:hAnsi="Times New Roman" w:cs="Times New Roman"/>
          <w:sz w:val="24"/>
          <w:u w:val="single"/>
        </w:rPr>
      </w:pPr>
      <w:r>
        <w:rPr>
          <w:rFonts w:cs="Times New Roman" w:ascii="Times New Roman" w:hAnsi="Times New Roman"/>
          <w:sz w:val="24"/>
          <w:u w:val="single"/>
        </w:rPr>
      </w:r>
    </w:p>
    <w:p>
      <w:pPr>
        <w:pStyle w:val="Department"/>
        <w:rPr>
          <w:rFonts w:ascii="Times New Roman" w:hAnsi="Times New Roman" w:cs="Times New Roman"/>
          <w:sz w:val="24"/>
          <w:u w:val="single"/>
        </w:rPr>
      </w:pPr>
      <w:r>
        <w:rPr>
          <w:rFonts w:cs="Times New Roman" w:ascii="Times New Roman" w:hAnsi="Times New Roman"/>
          <w:sz w:val="24"/>
          <w:u w:val="single"/>
        </w:rPr>
      </w:r>
    </w:p>
    <w:p>
      <w:pPr>
        <w:pStyle w:val="Department"/>
        <w:rPr>
          <w:rFonts w:ascii="Times New Roman" w:hAnsi="Times New Roman" w:cs="Times New Roman"/>
          <w:sz w:val="24"/>
          <w:u w:val="single"/>
        </w:rPr>
      </w:pPr>
      <w:r>
        <w:rPr>
          <w:rFonts w:cs="Times New Roman" w:ascii="Times New Roman" w:hAnsi="Times New Roman"/>
          <w:sz w:val="24"/>
          <w:u w:val="single"/>
        </w:rPr>
        <w:t xml:space="preserve">Termination Payments </w:t>
      </w:r>
    </w:p>
    <w:p>
      <w:pPr>
        <w:pStyle w:val="Department"/>
        <w:rPr>
          <w:rFonts w:ascii="Times New Roman" w:hAnsi="Times New Roman" w:cs="Times New Roman"/>
          <w:sz w:val="24"/>
          <w:u w:val="single"/>
        </w:rPr>
      </w:pPr>
      <w:r>
        <w:rPr>
          <w:rFonts w:cs="Times New Roman" w:ascii="Times New Roman" w:hAnsi="Times New Roman"/>
          <w:sz w:val="24"/>
          <w:u w:val="single"/>
        </w:rPr>
      </w:r>
    </w:p>
    <w:p>
      <w:pPr>
        <w:pStyle w:val="Department"/>
        <w:numPr>
          <w:ilvl w:val="0"/>
          <w:numId w:val="5"/>
        </w:numPr>
        <w:rPr>
          <w:rFonts w:ascii="Times New Roman" w:hAnsi="Times New Roman" w:cs="Times New Roman"/>
          <w:sz w:val="24"/>
        </w:rPr>
      </w:pPr>
      <w:r>
        <w:rPr>
          <w:rFonts w:cs="Times New Roman" w:ascii="Times New Roman" w:hAnsi="Times New Roman"/>
          <w:sz w:val="24"/>
        </w:rPr>
        <w:t>Change in Law</w:t>
      </w:r>
    </w:p>
    <w:p>
      <w:pPr>
        <w:pStyle w:val="Department"/>
        <w:rPr>
          <w:rFonts w:ascii="Times New Roman" w:hAnsi="Times New Roman" w:cs="Times New Roman"/>
          <w:sz w:val="24"/>
        </w:rPr>
      </w:pPr>
      <w:r>
        <w:rPr>
          <w:rFonts w:cs="Times New Roman" w:ascii="Times New Roman" w:hAnsi="Times New Roman"/>
          <w:sz w:val="24"/>
        </w:rPr>
      </w:r>
    </w:p>
    <w:p>
      <w:pPr>
        <w:pStyle w:val="Department"/>
        <w:rPr>
          <w:rFonts w:ascii="Times New Roman" w:hAnsi="Times New Roman" w:cs="Times New Roman"/>
          <w:sz w:val="24"/>
        </w:rPr>
      </w:pPr>
      <w:r>
        <w:rPr>
          <w:rFonts w:cs="Times New Roman" w:ascii="Times New Roman" w:hAnsi="Times New Roman"/>
          <w:sz w:val="24"/>
        </w:rPr>
        <w:t xml:space="preserve">In its comments under Article 4.3 – Change in Law, Enron advocated a model that would allocate change in law risk solely to customers.   Under this model if the buyer elects to terminate the PPA due to a change in law then the buyer should be entitled to recover the greater of $0 and the NPV.     </w:t>
      </w:r>
    </w:p>
    <w:p>
      <w:pPr>
        <w:pStyle w:val="Department"/>
        <w:rPr>
          <w:rFonts w:ascii="Times New Roman" w:hAnsi="Times New Roman" w:cs="Times New Roman"/>
          <w:sz w:val="24"/>
        </w:rPr>
      </w:pPr>
      <w:r>
        <w:rPr>
          <w:rFonts w:cs="Times New Roman" w:ascii="Times New Roman" w:hAnsi="Times New Roman"/>
          <w:sz w:val="24"/>
        </w:rPr>
      </w:r>
    </w:p>
    <w:p>
      <w:pPr>
        <w:pStyle w:val="Department"/>
        <w:numPr>
          <w:ilvl w:val="0"/>
          <w:numId w:val="5"/>
        </w:numPr>
        <w:rPr>
          <w:rFonts w:ascii="Times New Roman" w:hAnsi="Times New Roman" w:cs="Times New Roman"/>
          <w:sz w:val="24"/>
        </w:rPr>
      </w:pPr>
      <w:r>
        <w:rPr>
          <w:rFonts w:cs="Times New Roman" w:ascii="Times New Roman" w:hAnsi="Times New Roman"/>
          <w:sz w:val="24"/>
        </w:rPr>
        <w:t>Force Majeure</w:t>
      </w:r>
    </w:p>
    <w:p>
      <w:pPr>
        <w:pStyle w:val="Department"/>
        <w:rPr>
          <w:rFonts w:ascii="Times New Roman" w:hAnsi="Times New Roman" w:cs="Times New Roman"/>
          <w:sz w:val="24"/>
        </w:rPr>
      </w:pPr>
      <w:r>
        <w:rPr>
          <w:rFonts w:cs="Times New Roman" w:ascii="Times New Roman" w:hAnsi="Times New Roman"/>
          <w:sz w:val="24"/>
        </w:rPr>
      </w:r>
    </w:p>
    <w:p>
      <w:pPr>
        <w:pStyle w:val="Department"/>
        <w:rPr>
          <w:rFonts w:ascii="Times New Roman" w:hAnsi="Times New Roman" w:cs="Times New Roman"/>
          <w:sz w:val="24"/>
        </w:rPr>
      </w:pPr>
      <w:r>
        <w:rPr>
          <w:rFonts w:cs="Times New Roman" w:ascii="Times New Roman" w:hAnsi="Times New Roman"/>
          <w:sz w:val="24"/>
        </w:rPr>
        <w:t xml:space="preserve">Enron supports the entitlement of the buyer to elect to terminate the PPA if the Force Majeure event continues for a period of six months or more, is expected to continue for six months or more, or will carry on beyond the effective term of the PPA.  This is consistent with Article 14.5 of the draft PPA.  Enron also supports the payment by the Balancing Pool to the buyer of the greater of $0 and the RBPA in the event the buyer elects to terminate the PPA under Force Majeure circumstances.  </w:t>
      </w:r>
    </w:p>
    <w:p>
      <w:pPr>
        <w:pStyle w:val="Department"/>
        <w:rPr>
          <w:rFonts w:ascii="Times New Roman" w:hAnsi="Times New Roman" w:cs="Times New Roman"/>
          <w:sz w:val="24"/>
        </w:rPr>
      </w:pPr>
      <w:r>
        <w:rPr>
          <w:rFonts w:cs="Times New Roman" w:ascii="Times New Roman" w:hAnsi="Times New Roman"/>
          <w:sz w:val="24"/>
        </w:rPr>
      </w:r>
    </w:p>
    <w:p>
      <w:pPr>
        <w:pStyle w:val="Department"/>
        <w:rPr>
          <w:rFonts w:ascii="Times New Roman" w:hAnsi="Times New Roman" w:cs="Times New Roman"/>
          <w:sz w:val="24"/>
        </w:rPr>
      </w:pPr>
      <w:r>
        <w:rPr>
          <w:rFonts w:cs="Times New Roman" w:ascii="Times New Roman" w:hAnsi="Times New Roman"/>
          <w:sz w:val="24"/>
        </w:rPr>
        <w:t>Enron has expressed its opposition to the inclusion of a HILP event in the definition of Force Majeure in its above comments under the heading Article 14.1 – Force Majeure.</w:t>
      </w:r>
    </w:p>
    <w:p>
      <w:pPr>
        <w:pStyle w:val="Department"/>
        <w:rPr>
          <w:rFonts w:ascii="Times New Roman" w:hAnsi="Times New Roman" w:cs="Times New Roman"/>
          <w:sz w:val="24"/>
        </w:rPr>
      </w:pPr>
      <w:r>
        <w:rPr>
          <w:rFonts w:cs="Times New Roman" w:ascii="Times New Roman" w:hAnsi="Times New Roman"/>
          <w:sz w:val="24"/>
        </w:rPr>
      </w:r>
    </w:p>
    <w:p>
      <w:pPr>
        <w:pStyle w:val="Department"/>
        <w:numPr>
          <w:ilvl w:val="0"/>
          <w:numId w:val="5"/>
        </w:numPr>
        <w:rPr>
          <w:rFonts w:ascii="Times New Roman" w:hAnsi="Times New Roman" w:cs="Times New Roman"/>
          <w:sz w:val="24"/>
        </w:rPr>
      </w:pPr>
      <w:r>
        <w:rPr>
          <w:rFonts w:cs="Times New Roman" w:ascii="Times New Roman" w:hAnsi="Times New Roman"/>
          <w:sz w:val="24"/>
        </w:rPr>
        <w:t>Destruction of Unit and Owner’s Default</w:t>
      </w:r>
    </w:p>
    <w:p>
      <w:pPr>
        <w:pStyle w:val="Department"/>
        <w:rPr>
          <w:rFonts w:ascii="Times New Roman" w:hAnsi="Times New Roman" w:cs="Times New Roman"/>
          <w:sz w:val="24"/>
        </w:rPr>
      </w:pPr>
      <w:r>
        <w:rPr>
          <w:rFonts w:cs="Times New Roman" w:ascii="Times New Roman" w:hAnsi="Times New Roman"/>
          <w:sz w:val="24"/>
        </w:rPr>
      </w:r>
    </w:p>
    <w:p>
      <w:pPr>
        <w:pStyle w:val="Department"/>
        <w:rPr>
          <w:rFonts w:ascii="Times New Roman" w:hAnsi="Times New Roman" w:cs="Times New Roman"/>
          <w:sz w:val="24"/>
        </w:rPr>
      </w:pPr>
      <w:r>
        <w:rPr>
          <w:rFonts w:cs="Times New Roman" w:ascii="Times New Roman" w:hAnsi="Times New Roman"/>
          <w:sz w:val="24"/>
        </w:rPr>
        <w:t>If the destruction of the unit is not the fault of the owner then the Force Majeure provisions should apply and Enron advocates the application of the same termination rights and payments as would apply under a Force Majeure event.</w:t>
      </w:r>
    </w:p>
    <w:p>
      <w:pPr>
        <w:pStyle w:val="Department"/>
        <w:rPr>
          <w:rFonts w:ascii="Times New Roman" w:hAnsi="Times New Roman" w:cs="Times New Roman"/>
          <w:sz w:val="24"/>
        </w:rPr>
      </w:pPr>
      <w:r>
        <w:rPr>
          <w:rFonts w:cs="Times New Roman" w:ascii="Times New Roman" w:hAnsi="Times New Roman"/>
          <w:sz w:val="24"/>
        </w:rPr>
      </w:r>
    </w:p>
    <w:p>
      <w:pPr>
        <w:pStyle w:val="Department"/>
        <w:rPr>
          <w:rFonts w:ascii="Times New Roman" w:hAnsi="Times New Roman" w:cs="Times New Roman"/>
          <w:sz w:val="24"/>
        </w:rPr>
      </w:pPr>
      <w:r>
        <w:rPr>
          <w:rFonts w:cs="Times New Roman" w:ascii="Times New Roman" w:hAnsi="Times New Roman"/>
          <w:sz w:val="24"/>
        </w:rPr>
        <w:t xml:space="preserve">If the destruction of the unit is the fault of owner then it is reasonable for the owner to be required to keep the buyer whole.  Under these circumstances Enron supports a model under which the owner’s obligations to the buyer would be the same as if the buyer terminated the PPA due to the owner’s default.  The termination payment should be the greater of $0 and the NPV.    </w:t>
      </w:r>
    </w:p>
    <w:p>
      <w:pPr>
        <w:pStyle w:val="Department"/>
        <w:rPr>
          <w:rFonts w:ascii="Times New Roman" w:hAnsi="Times New Roman" w:cs="Times New Roman"/>
          <w:sz w:val="24"/>
        </w:rPr>
      </w:pPr>
      <w:r>
        <w:rPr>
          <w:rFonts w:cs="Times New Roman" w:ascii="Times New Roman" w:hAnsi="Times New Roman"/>
          <w:sz w:val="24"/>
        </w:rPr>
      </w:r>
    </w:p>
    <w:p>
      <w:pPr>
        <w:pStyle w:val="Department"/>
        <w:numPr>
          <w:ilvl w:val="0"/>
          <w:numId w:val="5"/>
        </w:numPr>
        <w:rPr>
          <w:rFonts w:ascii="Times New Roman" w:hAnsi="Times New Roman" w:cs="Times New Roman"/>
          <w:sz w:val="24"/>
        </w:rPr>
      </w:pPr>
      <w:r>
        <w:rPr>
          <w:rFonts w:cs="Times New Roman" w:ascii="Times New Roman" w:hAnsi="Times New Roman"/>
          <w:sz w:val="24"/>
        </w:rPr>
        <w:t>Buyer’s Default</w:t>
      </w:r>
    </w:p>
    <w:p>
      <w:pPr>
        <w:pStyle w:val="Department"/>
        <w:rPr>
          <w:rFonts w:ascii="Times New Roman" w:hAnsi="Times New Roman" w:cs="Times New Roman"/>
          <w:sz w:val="24"/>
        </w:rPr>
      </w:pPr>
      <w:r>
        <w:rPr>
          <w:rFonts w:cs="Times New Roman" w:ascii="Times New Roman" w:hAnsi="Times New Roman"/>
          <w:sz w:val="24"/>
        </w:rPr>
      </w:r>
    </w:p>
    <w:p>
      <w:pPr>
        <w:pStyle w:val="Department"/>
        <w:rPr>
          <w:rFonts w:ascii="Times New Roman" w:hAnsi="Times New Roman" w:cs="Times New Roman"/>
          <w:sz w:val="24"/>
        </w:rPr>
      </w:pPr>
      <w:r>
        <w:rPr>
          <w:rFonts w:cs="Times New Roman" w:ascii="Times New Roman" w:hAnsi="Times New Roman"/>
          <w:sz w:val="24"/>
        </w:rPr>
        <w:t xml:space="preserve">If the buyer defaults on the PPA, Enron supports a model that would have the Balancing Pool backstop this risk by ensuring that the owner is kept whole.  The Balancing Pool would be entitled to recover the greater of $0 and the negative NPV from the defaulting buyer.  </w:t>
      </w:r>
      <w:r>
        <w:br w:type="page"/>
      </w:r>
    </w:p>
    <w:p>
      <w:pPr>
        <w:pStyle w:val="Department"/>
        <w:jc w:val="center"/>
        <w:rPr>
          <w:rFonts w:ascii="Times New Roman" w:hAnsi="Times New Roman" w:cs="Times New Roman"/>
          <w:b/>
          <w:sz w:val="24"/>
          <w:u w:val="single"/>
        </w:rPr>
      </w:pPr>
      <w:r>
        <w:rPr>
          <w:rFonts w:cs="Times New Roman" w:ascii="Times New Roman" w:hAnsi="Times New Roman"/>
          <w:b/>
          <w:sz w:val="24"/>
          <w:u w:val="single"/>
        </w:rPr>
        <w:t>Appendix A</w:t>
      </w:r>
    </w:p>
    <w:p>
      <w:pPr>
        <w:pStyle w:val="Department"/>
        <w:jc w:val="center"/>
        <w:rPr>
          <w:rFonts w:ascii="Times New Roman" w:hAnsi="Times New Roman" w:cs="Times New Roman"/>
          <w:b/>
          <w:sz w:val="24"/>
          <w:u w:val="single"/>
        </w:rPr>
      </w:pPr>
      <w:r>
        <w:rPr>
          <w:rFonts w:cs="Times New Roman" w:ascii="Times New Roman" w:hAnsi="Times New Roman"/>
          <w:b/>
          <w:sz w:val="24"/>
          <w:u w:val="single"/>
        </w:rPr>
      </w:r>
    </w:p>
    <w:p>
      <w:pPr>
        <w:pStyle w:val="Expanded"/>
        <w:rPr>
          <w:caps w:val="false"/>
          <w:smallCaps w:val="false"/>
          <w:spacing w:val="0"/>
        </w:rPr>
      </w:pPr>
      <w:r>
        <w:rPr>
          <w:caps w:val="false"/>
          <w:smallCaps w:val="false"/>
          <w:spacing w:val="0"/>
        </w:rPr>
        <w:t>MASTER ENERGY PURCHASE AND SALE AGREEMENT</w:t>
      </w:r>
    </w:p>
    <w:p>
      <w:pPr>
        <w:pStyle w:val="Justified"/>
        <w:rPr/>
      </w:pPr>
      <w:r>
        <w:rPr/>
        <w:tab/>
        <w:t xml:space="preserve">This Master Energy Purchase and Sale Agreement (this "Master Agreement" and together with all Transactions, collectively, the "Agreement") is entered into effective as of the ___ day of _______, 19__ (the "Effective Date") by and between </w:t>
      </w:r>
      <w:r>
        <w:rPr>
          <w:b/>
        </w:rPr>
        <w:t>Enron Power Marketing, Inc.</w:t>
      </w:r>
      <w:r>
        <w:rPr/>
        <w:t xml:space="preserve">, a Delaware corporation ("EPMI"), and </w:t>
      </w:r>
      <w:r>
        <w:rPr>
          <w:b/>
        </w:rPr>
        <w:t>______________</w:t>
      </w:r>
      <w:r>
        <w:rPr/>
        <w:t>, a ____________ ____________ ("Counterparty").  Each of EPMI and Counterparty may also be referred to individually as "Party" or collectively as "Parties."  The definitions set forth in </w:t>
      </w:r>
      <w:r>
        <w:rPr>
          <w:u w:val="single"/>
        </w:rPr>
        <w:t>Appendix "1"</w:t>
      </w:r>
      <w:r>
        <w:rPr/>
        <w:t xml:space="preserve"> shall apply to this Agreement.</w:t>
      </w:r>
    </w:p>
    <w:p>
      <w:pPr>
        <w:pStyle w:val="Heading1"/>
        <w:spacing w:before="0" w:after="120"/>
        <w:ind w:hanging="0" w:start="0"/>
        <w:rPr/>
      </w:pPr>
      <w:r>
        <w:rPr/>
        <w:t xml:space="preserve">SECTION </w:t>
      </w:r>
      <w:r>
        <w:rPr/>
        <w:fldChar w:fldCharType="begin"/>
      </w:r>
      <w:r>
        <w:rPr/>
        <w:instrText xml:space="preserve"> SEQ AutoNr \* ARABIC </w:instrText>
      </w:r>
      <w:r>
        <w:rPr/>
        <w:fldChar w:fldCharType="separate"/>
      </w:r>
      <w:r>
        <w:rPr/>
        <w:t>1</w:t>
      </w:r>
      <w:r>
        <w:rPr/>
        <w:fldChar w:fldCharType="end"/>
      </w:r>
      <w:r>
        <w:rPr/>
        <w:br/>
        <w:t>SCOPE OF AGREEMENT</w:t>
      </w:r>
    </w:p>
    <w:p>
      <w:pPr>
        <w:pStyle w:val="Heading2"/>
        <w:ind w:hanging="0" w:start="0"/>
        <w:rPr/>
      </w:pPr>
      <w:r>
        <w:rPr/>
        <w:fldChar w:fldCharType="begin"/>
      </w:r>
      <w:r>
        <w:rPr/>
        <w:instrText xml:space="preserve"> SEQ AutoNr \* ARABIC </w:instrText>
      </w:r>
      <w:r>
        <w:rPr/>
        <w:fldChar w:fldCharType="separate"/>
      </w:r>
      <w:r>
        <w:rPr/>
        <w:t>2</w:t>
      </w:r>
      <w:r>
        <w:rPr/>
        <w:fldChar w:fldCharType="end"/>
      </w:r>
      <w:r>
        <w:rPr/>
        <w:tab/>
      </w:r>
      <w:r>
        <w:rPr>
          <w:b/>
          <w:u w:val="single"/>
        </w:rPr>
        <w:t>Scope of Agreement</w:t>
      </w:r>
      <w:r>
        <w:rPr/>
        <w:t>.  From time to time, the Parties may, but shall not be obligated to, enter into Transactions for the purchase or sale of Energy hereunder.  Each Transaction shall be effectuated and evidenced in accordance with this Master Agreement and shall constitute a part of this Master Agreement.  The Parties are relying upon the fact that all Transactions, together with this Master Agreement, shall constitute a single integrated agreement, and that the Parties would not otherwise enter into any Transaction.  Any conflict between this Master Agreement and a Transaction shall be resolved in favor of the Transaction.  This Master Agreement shall govern all Transactions between the Parties from and after the Effective Date unless expressly stated otherwise and shall govern all transactions between the Parties entered into prior to the date hereof that relate to the purchase and sale of Energy or options thereon.</w:t>
      </w:r>
    </w:p>
    <w:p>
      <w:pPr>
        <w:pStyle w:val="Heading2"/>
        <w:ind w:hanging="0" w:start="0"/>
        <w:rPr/>
      </w:pPr>
      <w:r>
        <w:rPr/>
        <w:fldChar w:fldCharType="begin"/>
      </w:r>
      <w:r>
        <w:rPr/>
        <w:instrText xml:space="preserve"> SEQ AutoNr \* ARABIC </w:instrText>
      </w:r>
      <w:r>
        <w:rPr/>
        <w:fldChar w:fldCharType="separate"/>
      </w:r>
      <w:r>
        <w:rPr/>
        <w:t>3</w:t>
      </w:r>
      <w:r>
        <w:rPr/>
        <w:fldChar w:fldCharType="end"/>
      </w:r>
      <w:r>
        <w:rPr/>
        <w:tab/>
      </w:r>
      <w:r>
        <w:rPr>
          <w:b/>
          <w:u w:val="single"/>
        </w:rPr>
        <w:t>Transaction Procedures</w:t>
      </w:r>
      <w:r>
        <w:rPr/>
        <w:t>.  During the term of this Agreement, the Parties may notify each other that Energy is available for purchase or sale.  Each Transaction shall be effectuated in a telephone conversation between the Parties whereby an offer and acceptance shall constitute the agreement of the Parties.  The specific terms to be established by the Parties for each Transaction shall include the Buyer and Seller, the Delivery Term, the Contract Price, the Delivery Point, the Contract Quantity, whether the Transaction is Firm or Non-Firm and such other terms as the Parties shall agree.  EPMI may confirm a telephonic Transaction by forwarding to Counterparty a Confirmation Letter, which shall be executed by Counterparty (with any objections noted thereon) and returned to EPMI within two (2) Business Days of Counterparty's receipt of it or else be deemed correct as sent.  Failure by EPMI to send a Confirmation Letter shall not invalidate any Transaction agreed to by the Parties.  The Parties agree not to contest or assert any defense to the validity or enforceability of telephonic Transactions entered into in accordance with this Master Agreement under laws relating to whether certain agreements are to be in writing or signed by the Party to be thereby bound, or the authority of any employee of the Party to enter into a Transaction.  Each Party consents to the recording of its representatives’ telephone conversations without any further notice.  All recordings may be introduced into evidence and used to prove oral agreements between the Parties.</w:t>
      </w:r>
    </w:p>
    <w:p>
      <w:pPr>
        <w:pStyle w:val="Heading2"/>
        <w:ind w:hanging="0" w:start="0"/>
        <w:rPr/>
      </w:pPr>
      <w:r>
        <w:rPr/>
        <w:fldChar w:fldCharType="begin"/>
      </w:r>
      <w:r>
        <w:rPr/>
        <w:instrText xml:space="preserve"> SEQ AutoNr \* ARABIC </w:instrText>
      </w:r>
      <w:r>
        <w:rPr/>
        <w:fldChar w:fldCharType="separate"/>
      </w:r>
      <w:r>
        <w:rPr/>
        <w:t>4</w:t>
      </w:r>
      <w:r>
        <w:rPr/>
        <w:fldChar w:fldCharType="end"/>
      </w:r>
      <w:r>
        <w:rPr/>
        <w:tab/>
      </w:r>
      <w:r>
        <w:rPr>
          <w:b/>
          <w:u w:val="single"/>
        </w:rPr>
        <w:t>Term of Agreement</w:t>
      </w:r>
      <w:r>
        <w:rPr/>
        <w:t>.  The term of this Master Agreement shall commence on the Effective Date and shall remain in effect until terminated by either Party upon 30 days prior written notice; provided, however, that this Master Agreement shall remain in effect with respect to any Transaction(s) entered into prior to the effective date of the termination until both Parties have fulfilled all their obligations with respect to such Transaction(s).</w:t>
      </w:r>
    </w:p>
    <w:p>
      <w:pPr>
        <w:pStyle w:val="Heading1"/>
        <w:spacing w:before="0" w:after="120"/>
        <w:ind w:hanging="0" w:start="0"/>
        <w:rPr/>
      </w:pPr>
      <w:r>
        <w:rPr/>
        <w:t xml:space="preserve">SECTION </w:t>
      </w:r>
      <w:r>
        <w:rPr/>
        <w:fldChar w:fldCharType="begin"/>
      </w:r>
      <w:r>
        <w:rPr/>
        <w:instrText xml:space="preserve"> SEQ AutoNr \* ARABIC </w:instrText>
      </w:r>
      <w:r>
        <w:rPr/>
        <w:fldChar w:fldCharType="separate"/>
      </w:r>
      <w:r>
        <w:rPr/>
        <w:t>5</w:t>
      </w:r>
      <w:r>
        <w:rPr/>
        <w:fldChar w:fldCharType="end"/>
      </w:r>
      <w:r>
        <w:rPr/>
        <w:br/>
        <w:t>REPRESENTATIONS AND WARRANTIES</w:t>
      </w:r>
    </w:p>
    <w:p>
      <w:pPr>
        <w:pStyle w:val="Justified"/>
        <w:rPr/>
      </w:pPr>
      <w:r>
        <w:rPr/>
        <w:tab/>
        <w:t>On the Effective Date and the date of entering into each Transaction, each Party represents and warrants to the other Party that:  (i) it is duly organized, validly existing and in good standing under the laws of the jurisdiction of its formation and is qualified to conduct its business in each jurisdiction in which a Transaction will be performed by it, (ii) it has all regulatory authorizations necessary for it to legally perform its obligations under this Master Agreement and each Transaction, (iii) the execution, delivery and performance of this Master Agreement and each Transaction are within its powers, have been duly authorized by all necessary action and do not violate any of the terms and conditions in its governing documents, any contracts to which it is a party or any Law applicable to it, (iv) this Master Agreement and each Transaction when entered into in accordance with this Master Agreement constitutes its legally valid and binding obligation enforceable against it in accordance with its terms, subject to any Equitable Defenses, (v) there are no Bankruptcy Proceedings pending or being contemplated by it or, to its knowledge, threatened against it, (vi) there are no Legal Proceedings that materially adversely affect its ability to perform its obligations under this Master Agreement and each Transaction, and (vii) it has knowledge and experience in financial matters and the electric industry that enable it to evaluate the merits and risks of entering into this Master Agreement and each Transaction.  Each Party covenants that it will cause these representations and warranties to be true and correct throughout the term of the Agreement.</w:t>
      </w:r>
    </w:p>
    <w:p>
      <w:pPr>
        <w:pStyle w:val="Heading1"/>
        <w:spacing w:before="0" w:after="120"/>
        <w:ind w:hanging="0" w:start="0"/>
        <w:rPr/>
      </w:pPr>
      <w:r>
        <w:rPr/>
        <w:t xml:space="preserve">SECTION </w:t>
      </w:r>
      <w:r>
        <w:rPr/>
        <w:fldChar w:fldCharType="begin"/>
      </w:r>
      <w:r>
        <w:rPr/>
        <w:instrText xml:space="preserve"> SEQ AutoNr \* ARABIC </w:instrText>
      </w:r>
      <w:r>
        <w:rPr/>
        <w:fldChar w:fldCharType="separate"/>
      </w:r>
      <w:r>
        <w:rPr/>
        <w:t>6</w:t>
      </w:r>
      <w:r>
        <w:rPr/>
        <w:fldChar w:fldCharType="end"/>
      </w:r>
      <w:r>
        <w:rPr/>
        <w:br/>
        <w:t>OBLIGATIONS AND DELIVERIES</w:t>
      </w:r>
    </w:p>
    <w:p>
      <w:pPr>
        <w:pStyle w:val="Heading2"/>
        <w:ind w:hanging="0" w:start="0"/>
        <w:rPr>
          <w:caps/>
        </w:rPr>
      </w:pPr>
      <w:r>
        <w:rPr/>
        <w:fldChar w:fldCharType="begin"/>
      </w:r>
      <w:r>
        <w:rPr/>
        <w:instrText xml:space="preserve"> SEQ AutoNr \* ARABIC </w:instrText>
      </w:r>
      <w:r>
        <w:rPr/>
        <w:fldChar w:fldCharType="separate"/>
      </w:r>
      <w:r>
        <w:rPr/>
        <w:t>7</w:t>
      </w:r>
      <w:r>
        <w:rPr/>
        <w:fldChar w:fldCharType="end"/>
      </w:r>
      <w:r>
        <w:rPr/>
        <w:tab/>
      </w:r>
      <w:r>
        <w:rPr>
          <w:b/>
          <w:u w:val="single"/>
        </w:rPr>
        <w:t>Seller’s and Buyer’s Obligations</w:t>
      </w:r>
      <w:r>
        <w:rPr/>
        <w:t>.  With respect to each Transaction and subject to the terms of this Master Agreement, Seller shall sell and deliver, or cause to be delivered, and Buyer shall purchase and receive, or cause to be received, at the Delivery Point the Contract Quantity, and Buyer shall pay Seller the Contract Price.  Seller shall be responsible for any costs or charges imposed on or associated with the delivery of the Contract Quantity (excluding any Stranded Costs), including control area services, inadvertent energy flows, transmission losses and loss charges relating to the transmission of the Contract Quantity (excluding any Stranded Costs), up to the Delivery Point.  Buyer shall be responsible for any costs or charges imposed on or associated with the Contract Quantity, including control area services, inadvertent energy flows, transmission losses and loss charges relating to the transmission of the Contract Quantity, at and from the Delivery Point.</w:t>
      </w:r>
    </w:p>
    <w:p>
      <w:pPr>
        <w:pStyle w:val="Heading2"/>
        <w:ind w:hanging="0" w:start="0"/>
        <w:rPr/>
      </w:pPr>
      <w:r>
        <w:rPr/>
        <w:fldChar w:fldCharType="begin"/>
      </w:r>
      <w:r>
        <w:rPr/>
        <w:instrText xml:space="preserve"> SEQ AutoNr \* ARABIC </w:instrText>
      </w:r>
      <w:r>
        <w:rPr/>
        <w:fldChar w:fldCharType="separate"/>
      </w:r>
      <w:r>
        <w:rPr/>
        <w:t>8</w:t>
      </w:r>
      <w:r>
        <w:rPr/>
        <w:fldChar w:fldCharType="end"/>
      </w:r>
      <w:r>
        <w:rPr/>
        <w:tab/>
      </w:r>
      <w:r>
        <w:rPr>
          <w:b/>
          <w:u w:val="single"/>
        </w:rPr>
        <w:t>Transmission and Scheduling</w:t>
      </w:r>
      <w:r>
        <w:rPr/>
        <w:t>.  Seller shall arrange and be responsible for transmission service to the Delivery Point and shall Schedule or arrange for Scheduling services with its Transmission Providers to deliver the Energy to the Delivery Point.  Buyer shall arrange and be responsible for transmission service at and from the Delivery Point and shall Schedule or arrange for Scheduling services with its Transmission Providers to receive the Energy at the Delivery Point.  Each Party shall designate authorized representatives to effect the Scheduling of the Contract Quantity of Energy.</w:t>
      </w:r>
    </w:p>
    <w:p>
      <w:pPr>
        <w:pStyle w:val="Heading2"/>
        <w:ind w:hanging="0" w:start="0"/>
        <w:rPr/>
      </w:pPr>
      <w:r>
        <w:rPr/>
        <w:fldChar w:fldCharType="begin"/>
      </w:r>
      <w:r>
        <w:rPr/>
        <w:instrText xml:space="preserve"> SEQ AutoNr \* ARABIC </w:instrText>
      </w:r>
      <w:r>
        <w:rPr/>
        <w:fldChar w:fldCharType="separate"/>
      </w:r>
      <w:r>
        <w:rPr/>
        <w:t>9</w:t>
      </w:r>
      <w:r>
        <w:rPr/>
        <w:fldChar w:fldCharType="end"/>
      </w:r>
      <w:r>
        <w:rPr/>
        <w:tab/>
      </w:r>
      <w:r>
        <w:rPr>
          <w:b/>
          <w:u w:val="single"/>
        </w:rPr>
        <w:t>Title, Risk of Loss and Indemnity</w:t>
      </w:r>
      <w:r>
        <w:rPr/>
        <w:t>.  As between the Parties, Seller shall be deemed to be in exclusive control (and responsible for any damages or injury caused thereby) of the Energy prior to the Delivery Point and Buyer shall be deemed to be in exclusive control (and responsible for any damages or injury caused thereby) of the Energy at and from the Delivery Point.  Seller warrants that it will deliver to Buyer the Contract Quantity free and clear of all liens, claims and encumbrances arising prior to the Delivery Point.  Title to and risk of loss related to the Contract Quantity shall transfer from Seller to Buyer at the Delivery Point.  Seller and Buyer shall each indemnify, defend and hold harmless the other Party from any Claims arising from any act or incident occurring when title to the Energy is vested in the indemnifying Party.</w:t>
      </w:r>
    </w:p>
    <w:p>
      <w:pPr>
        <w:pStyle w:val="Heading2"/>
        <w:ind w:hanging="0" w:start="0"/>
        <w:rPr>
          <w:rFonts w:ascii="Arial Narrow" w:hAnsi="Arial Narrow" w:cs="Arial Narrow"/>
          <w:sz w:val="20"/>
        </w:rPr>
      </w:pPr>
      <w:r>
        <w:rPr/>
        <w:fldChar w:fldCharType="begin"/>
      </w:r>
      <w:r>
        <w:rPr/>
        <w:instrText xml:space="preserve"> SEQ AutoNr \* ARABIC </w:instrText>
      </w:r>
      <w:r>
        <w:rPr/>
        <w:fldChar w:fldCharType="separate"/>
      </w:r>
      <w:r>
        <w:rPr/>
        <w:t>10</w:t>
      </w:r>
      <w:r>
        <w:rPr/>
        <w:fldChar w:fldCharType="end"/>
      </w:r>
      <w:r>
        <w:rPr/>
        <w:tab/>
      </w:r>
      <w:r>
        <w:rPr>
          <w:b/>
          <w:u w:val="single"/>
        </w:rPr>
        <w:t>Force Majeure</w:t>
      </w:r>
      <w:r>
        <w:rPr/>
        <w:t>.  If either Party is rendered unable by Force Majeure to carry out, in whole or part, its obligations under a Transaction and such Party gives notice and full details of the event to the other Party as soon as practicable, then during the pendency of such Force Majeure but for no longer period, the obligations of the Party affected by the event (other than the obligation to make payments then due or becoming due with respect to performance prior to the event) shall be suspended to the extent required; provided, however, Buyer shall be obligated to pay Demand Charges, if any, with respect to a Transaction notwithstanding the Force Majeure.  The Party affected by the Force Majeure shall remedy the Force Majeure with all reasonable dispatch; provided, however, that this provision shall not require Seller to deliver, or Buyer to receive, Energy at points other than the Delivery Point.  The Party claiming force majeure (the "Claiming Party") shall provide the non-claiming Party notice of the Claiming Party's best estimate of the duration of the Force Majeure (the "Estimated Duration").  During the Estimated Duration, the non-claiming Party shall not be required to resume its obligations to the Claiming Party with respect to the part of the Transaction for which the Claiming Party has claimed is subject to Force Majeure.  Notwithstanding the foregoing, as soon as all or part of the Force Majeure ceases, the Claiming Party shall notify the non-claiming Party who shall have the option to require the Claiming Party to resume all or part of its obligations under the Transaction prior to the expiration of the Estimated Duration; provided, however, in all events the Parties shall resume their obligations under the Transaction upon the expiration of the Estimated Duration with respect to all or part of the Transaction that is no longer subject to the Force Majeure.  If all or part of the Force Majeure continues to exist beyond the Estimated Duration, then the non-claiming Party may take any action it deems commercially reasonable under the circumstances.</w:t>
      </w:r>
    </w:p>
    <w:p>
      <w:pPr>
        <w:pStyle w:val="Heading2"/>
        <w:keepNext w:val="true"/>
        <w:keepLines/>
        <w:ind w:hanging="0" w:start="0"/>
        <w:rPr/>
      </w:pPr>
      <w:r>
        <w:rPr/>
        <w:fldChar w:fldCharType="begin"/>
      </w:r>
      <w:r>
        <w:rPr/>
        <w:instrText xml:space="preserve"> SEQ AutoNr \* ARABIC </w:instrText>
      </w:r>
      <w:r>
        <w:rPr/>
        <w:fldChar w:fldCharType="separate"/>
      </w:r>
      <w:r>
        <w:rPr/>
        <w:t>11</w:t>
      </w:r>
      <w:r>
        <w:rPr/>
        <w:fldChar w:fldCharType="end"/>
      </w:r>
      <w:r>
        <w:rPr/>
        <w:tab/>
      </w:r>
      <w:r>
        <w:rPr>
          <w:b/>
          <w:u w:val="single"/>
        </w:rPr>
        <w:t>Failure to Deliver/Receive in Firm Transactions</w:t>
      </w:r>
      <w:r>
        <w:rPr/>
        <w:t xml:space="preserve">.  </w:t>
      </w:r>
    </w:p>
    <w:p>
      <w:pPr>
        <w:pStyle w:val="Heading6"/>
        <w:rPr/>
      </w:pPr>
      <w:r>
        <w:rPr/>
        <w:fldChar w:fldCharType="begin"/>
      </w:r>
      <w:r>
        <w:rPr/>
        <w:instrText xml:space="preserve"> SEQ AutoNr \* ARABIC </w:instrText>
      </w:r>
      <w:r>
        <w:rPr/>
        <w:fldChar w:fldCharType="separate"/>
      </w:r>
      <w:r>
        <w:rPr/>
        <w:t>12</w:t>
      </w:r>
      <w:r>
        <w:rPr/>
        <w:fldChar w:fldCharType="end"/>
      </w:r>
      <w:r>
        <w:rPr/>
        <w:tab/>
        <w:t>Unless excused by Force Majeure or Buyer’s failure to perform, if Seller fails to schedule and/or deliver all or part of the Contract Quantity pursuant to a Firm Transaction, Seller shall pay Buyer an amount for each  MWh of such deficiency equal to the positive difference, if any, obtained by subtracting the Contract Price from the Replacement Price.  "Replacement Price" means the price at which Buyer, acting in a commercially reasonable manner, purchases substitute Energy not delivered by Seller (plus costs reasonably incurred by Buyer in purchasing substitute Energy, including additional transmission charges, if any, incurred by Buyer) or, absent a purchase, the market price for such quantity at such Delivery Point as determined by Buyer in a commercially reasonable manner; provided, however, in no event shall the Replacement Price include any penalties, ratcheted demand or similar charges or any Stranded Costs.</w:t>
      </w:r>
    </w:p>
    <w:p>
      <w:pPr>
        <w:pStyle w:val="Heading6"/>
        <w:rPr/>
      </w:pPr>
      <w:r>
        <w:rPr/>
        <w:fldChar w:fldCharType="begin"/>
      </w:r>
      <w:r>
        <w:rPr/>
        <w:instrText xml:space="preserve"> SEQ AutoNr \* ARABIC </w:instrText>
      </w:r>
      <w:r>
        <w:rPr/>
        <w:fldChar w:fldCharType="separate"/>
      </w:r>
      <w:r>
        <w:rPr/>
        <w:t>13</w:t>
      </w:r>
      <w:r>
        <w:rPr/>
        <w:fldChar w:fldCharType="end"/>
      </w:r>
      <w:r>
        <w:rPr/>
        <w:tab/>
        <w:t>Unless excused by Force Majeure or Seller’s failure to perform, if Buyer fails to schedule and/or receive (i) the minimum requirement of the Contract Quantity, if any, as required to be received pursuant to a Firm Transaction or (ii) amounts of Energy that the Parties agreed to Schedule pursuant to a Firm Transaction, Buyer shall pay Seller an amount for each MWh of such deficiency equal to the sum of (1) the positive difference, if any, obtained by subtracting the Sales Price from the Contract Price, and (2) additional costs reasonably incurred by Seller in selling such Energy not received by Buyer, including additional transmission charges, if any.  "Sales Price" means the price at which Seller, acting in a commercially reasonable manner, resells (if at all) the Energy not received by Buyer.</w:t>
      </w:r>
    </w:p>
    <w:p>
      <w:pPr>
        <w:pStyle w:val="Heading6"/>
        <w:rPr/>
      </w:pPr>
      <w:r>
        <w:rPr/>
        <w:fldChar w:fldCharType="begin"/>
      </w:r>
      <w:r>
        <w:rPr/>
        <w:instrText xml:space="preserve"> SEQ AutoNr \* ARABIC </w:instrText>
      </w:r>
      <w:r>
        <w:rPr/>
        <w:fldChar w:fldCharType="separate"/>
      </w:r>
      <w:r>
        <w:rPr/>
        <w:t>14</w:t>
      </w:r>
      <w:r>
        <w:rPr/>
        <w:fldChar w:fldCharType="end"/>
      </w:r>
      <w:r>
        <w:rPr/>
        <w:tab/>
        <w:t xml:space="preserve">Amounts payable pursuant to this </w:t>
      </w:r>
      <w:r>
        <w:rPr>
          <w:u w:val="single"/>
        </w:rPr>
        <w:t>Section 3.5</w:t>
      </w:r>
      <w:r>
        <w:rPr/>
        <w:t xml:space="preserve"> shall be payable on or before 3 Business Days after receipt of an invoice from the Party claiming payment pursuant to this </w:t>
      </w:r>
      <w:r>
        <w:rPr>
          <w:u w:val="single"/>
        </w:rPr>
        <w:t>Section 3.5</w:t>
      </w:r>
      <w:r>
        <w:rPr/>
        <w:t>.</w:t>
      </w:r>
    </w:p>
    <w:p>
      <w:pPr>
        <w:pStyle w:val="Heading2"/>
        <w:ind w:hanging="0" w:start="0"/>
        <w:rPr>
          <w:u w:val="single"/>
        </w:rPr>
      </w:pPr>
      <w:r>
        <w:rPr/>
        <w:fldChar w:fldCharType="begin"/>
      </w:r>
      <w:r>
        <w:rPr/>
        <w:instrText xml:space="preserve"> SEQ AutoNr \* ARABIC </w:instrText>
      </w:r>
      <w:r>
        <w:rPr/>
        <w:fldChar w:fldCharType="separate"/>
      </w:r>
      <w:r>
        <w:rPr/>
        <w:t>15</w:t>
      </w:r>
      <w:r>
        <w:rPr/>
        <w:fldChar w:fldCharType="end"/>
      </w:r>
      <w:r>
        <w:rPr/>
        <w:tab/>
      </w:r>
      <w:r>
        <w:rPr>
          <w:b/>
          <w:u w:val="single"/>
        </w:rPr>
        <w:t>Failure to Deliver/Receive in Non-Firm Transactions</w:t>
      </w:r>
      <w:r>
        <w:rPr/>
        <w:t>.  A Party may be excused from delivering or receiving the Contract Quantity, in whole or in part, in a Non-Firm Transaction for any reason without liability unless otherwise provided in a Confirmation Letter.</w:t>
      </w:r>
    </w:p>
    <w:p>
      <w:pPr>
        <w:pStyle w:val="Heading1"/>
        <w:spacing w:before="0" w:after="120"/>
        <w:ind w:hanging="0" w:start="0"/>
        <w:rPr/>
      </w:pPr>
      <w:r>
        <w:rPr/>
        <w:t xml:space="preserve">SECTION </w:t>
      </w:r>
      <w:r>
        <w:rPr/>
        <w:fldChar w:fldCharType="begin"/>
      </w:r>
      <w:r>
        <w:rPr/>
        <w:instrText xml:space="preserve"> SEQ AutoNr \* ARABIC </w:instrText>
      </w:r>
      <w:r>
        <w:rPr/>
        <w:fldChar w:fldCharType="separate"/>
      </w:r>
      <w:r>
        <w:rPr/>
        <w:t>16</w:t>
      </w:r>
      <w:r>
        <w:rPr/>
        <w:fldChar w:fldCharType="end"/>
      </w:r>
      <w:r>
        <w:rPr/>
        <w:br/>
        <w:t>DEFAULTS AND REMEDIES</w:t>
      </w:r>
    </w:p>
    <w:p>
      <w:pPr>
        <w:pStyle w:val="Heading2"/>
        <w:ind w:hanging="0" w:start="0"/>
        <w:rPr/>
      </w:pPr>
      <w:r>
        <w:rPr/>
        <w:fldChar w:fldCharType="begin"/>
      </w:r>
      <w:r>
        <w:rPr/>
        <w:instrText xml:space="preserve"> SEQ AutoNr \* ARABIC </w:instrText>
      </w:r>
      <w:r>
        <w:rPr/>
        <w:fldChar w:fldCharType="separate"/>
      </w:r>
      <w:r>
        <w:rPr/>
        <w:t>17</w:t>
      </w:r>
      <w:r>
        <w:rPr/>
        <w:fldChar w:fldCharType="end"/>
      </w:r>
      <w:r>
        <w:rPr/>
        <w:tab/>
      </w:r>
      <w:r>
        <w:rPr>
          <w:b/>
          <w:u w:val="single"/>
        </w:rPr>
        <w:t>Events of Default</w:t>
      </w:r>
      <w:r>
        <w:rPr/>
        <w:t>.  An "Event of Default" shall mean with respect to a Party ("Defaulting Party"):  (i) the failure by the Defaulting Party to make, when due, any payment required pursuant to this Agreement if such failure is not remedied within three (3) Business Days after written notice of such failure is given to the Defaulting Party by the other Party ("Non-Defaulting Party") and provided the payment is not the subject of a good faith dispute as described in </w:t>
      </w:r>
      <w:r>
        <w:rPr>
          <w:u w:val="single"/>
        </w:rPr>
        <w:t>Section 6</w:t>
      </w:r>
      <w:r>
        <w:rPr/>
        <w:t xml:space="preserve"> or (ii) any representation or warranty made by the Defaulting Party herein shall at any time prove to be false or misleading in any material respect or (iii) the failure by the Defaulting Party to perform any covenant set forth in this Agreement (other than the events that are otherwise specifically covered in this </w:t>
      </w:r>
      <w:r>
        <w:rPr>
          <w:u w:val="single"/>
        </w:rPr>
        <w:t>Section 4.1</w:t>
      </w:r>
      <w:r>
        <w:rPr/>
        <w:t xml:space="preserve"> as a separate Event of Default or its obligations to deliver or receive Energy a remedy for which is provided in </w:t>
      </w:r>
      <w:r>
        <w:rPr>
          <w:u w:val="single"/>
        </w:rPr>
        <w:t>Section 3</w:t>
      </w:r>
      <w:r>
        <w:rPr/>
        <w:t xml:space="preserve">), and such failure is not excused by Force Majeure or cured within five Business Days after written notice thereof to the Defaulting Party or (iv) the Defaulting Party shall be subject to a Bankruptcy Proceeding or </w:t>
      </w:r>
      <w:r>
        <w:rPr>
          <w:b/>
        </w:rPr>
        <w:t>SEE RIDER EVENTS</w:t>
      </w:r>
    </w:p>
    <w:p>
      <w:pPr>
        <w:pStyle w:val="Heading2"/>
        <w:keepNext w:val="true"/>
        <w:keepLines/>
        <w:ind w:hanging="0" w:start="0"/>
        <w:rPr/>
      </w:pPr>
      <w:r>
        <w:rPr/>
        <w:fldChar w:fldCharType="begin"/>
      </w:r>
      <w:r>
        <w:rPr/>
        <w:instrText xml:space="preserve"> SEQ AutoNr \* ARABIC </w:instrText>
      </w:r>
      <w:r>
        <w:rPr/>
        <w:fldChar w:fldCharType="separate"/>
      </w:r>
      <w:r>
        <w:rPr/>
        <w:t>18</w:t>
      </w:r>
      <w:r>
        <w:rPr/>
        <w:fldChar w:fldCharType="end"/>
      </w:r>
      <w:r>
        <w:rPr/>
        <w:tab/>
      </w:r>
      <w:r>
        <w:rPr>
          <w:b/>
          <w:u w:val="single"/>
        </w:rPr>
        <w:t>Remedies upon an Event of Default</w:t>
      </w:r>
      <w:r>
        <w:rPr/>
        <w:t xml:space="preserve">.  </w:t>
      </w:r>
    </w:p>
    <w:p>
      <w:pPr>
        <w:pStyle w:val="Heading6"/>
        <w:rPr/>
      </w:pPr>
      <w:r>
        <w:rPr/>
        <w:fldChar w:fldCharType="begin"/>
      </w:r>
      <w:r>
        <w:rPr/>
        <w:instrText xml:space="preserve"> SEQ AutoNr \* ARABIC </w:instrText>
      </w:r>
      <w:r>
        <w:rPr/>
        <w:fldChar w:fldCharType="separate"/>
      </w:r>
      <w:r>
        <w:rPr/>
        <w:t>19</w:t>
      </w:r>
      <w:r>
        <w:rPr/>
        <w:fldChar w:fldCharType="end"/>
      </w:r>
      <w:r>
        <w:rPr/>
        <w:tab/>
        <w:t xml:space="preserve">If an Event of Default occurs with respect to a Defaulting Party at any time during the term of this Agreement, the Non-Defaulting Party may, in its sole discretion, for so long as the Event of Default is continuing, (i) by no more than 20 days notice to the Defaulting Party designate a day no earlier than the day such notice is effective as an early termination date ("Early Termination Date") on which all Transactions shall terminate (individually a "Terminated Transaction" and collectively the "Terminated Transactions") and (ii) withhold any payments due in respect of the Terminated Transactions.  If an Early Termination Date has been designated, the Non-Defaulting Party shall in good faith calculate its Gains, Losses and Costs resulting from the termination of the Terminated Transactions.  The Gains, Losses and Costs shall be determined by comparing the value of the remaining term, Contract Quantities and Contract Prices under each Terminated Transaction had it not been terminated to the equivalent quantities and relevant market prices for the remaining term either quoted by a bona fide third-party offer or which are reasonably expected to be available in the market under a replacement contract for each Terminated Transaction.  To ascertain the market prices of a replacement contract, the Non-Defaulting Party may consider, among other valuations, any or all of the settlement prices of NYMEX Power futures contracts, quotations from leading dealers in energy swap contracts and other bona fide third party offers, all adjusted for the length of the remaining term and differences in transmission.  It is expressly agreed that a Party shall not be required to enter into replacement transactions in order to determine the Termination Payment.  The Non-Defaulting Party shall aggregate such Gains, Losses and Costs with respect to all Transactions into a single net amount ("Termination Payment") and notify the Defaulting Party.  If the Non-Defaulting Party's aggregate Losses and Costs exceed its aggregate Gains, the Defaulting Party shall, within three (3) Business Days of receipt of such notice, pay the net amount to the non-Defaulting Party, which amount shall bear interest at the Interest Rate from the Early Termination Date until paid.  If the Non-Defaulting Party's aggregate Gains exceed its aggregate Losses and Costs, if any, resulting from the termination of the Terminated Transactions, the Non-Defaulting Party shall pay such excess to the Defaulting Party on or before the later of (1) ten (10) days after the end of the month ending on or after the Early Termination Date and (2) the date five (5) Business Days after receipt by the Defaulting Party of the Non-Defaulting Party's notice given above, which amount shall bear interest at the Interest Rate from the Early Termination Date until paid.  </w:t>
      </w:r>
    </w:p>
    <w:p>
      <w:pPr>
        <w:pStyle w:val="Heading6"/>
        <w:rPr/>
      </w:pPr>
      <w:r>
        <w:rPr/>
        <w:fldChar w:fldCharType="begin"/>
      </w:r>
      <w:r>
        <w:rPr/>
        <w:instrText xml:space="preserve"> SEQ AutoNr \* ARABIC </w:instrText>
      </w:r>
      <w:r>
        <w:rPr/>
        <w:fldChar w:fldCharType="separate"/>
      </w:r>
      <w:r>
        <w:rPr/>
        <w:t>20</w:t>
      </w:r>
      <w:r>
        <w:rPr/>
        <w:fldChar w:fldCharType="end"/>
      </w:r>
      <w:r>
        <w:rPr/>
        <w:tab/>
        <w:t>As used herein with respect to each Party:  (i) "</w:t>
      </w:r>
      <w:r>
        <w:rPr>
          <w:u w:val="single"/>
        </w:rPr>
        <w:t>Costs</w:t>
      </w:r>
      <w:r>
        <w:rPr/>
        <w:t>" shall mean, with respect to a Party, brokerage fees, commissions and other similar transaction costs and expenses reasonably incurred by such Party either in terminating any arrangement pursuant to which it has hedged its obligations or entering into new arrangements which replace a Terminated Transaction, and attorneys’ fees, if any, incurred in connection with enforcing its rights under this Agreement; (ii) "</w:t>
      </w:r>
      <w:r>
        <w:rPr>
          <w:u w:val="single"/>
        </w:rPr>
        <w:t>Gains</w:t>
      </w:r>
      <w:r>
        <w:rPr/>
        <w:t>" shall mean, with respect to a Party, an amount equal to the present value of the economic benefit (exclusive of Costs), if any, to it resulting from the termination of its obligations with respect to a Terminated Transaction, determined in a commercially reasonable manner; and (iii) "</w:t>
      </w:r>
      <w:r>
        <w:rPr>
          <w:u w:val="single"/>
        </w:rPr>
        <w:t>Losses</w:t>
      </w:r>
      <w:r>
        <w:rPr/>
        <w:t>" shall mean, with respect to a Party, an amount equal to the present value of the economic loss (exclusive of Costs), if any, to it resulting from the termination of its obligations with respect to a Terminated Transaction, determined in a commercially reasonable manner.  In no event, however, shall a Party's Gains, Losses or Costs include any penalties, ratcheted demand or similar charges or any Stranded Costs.  At the time for payment of any amount due under this </w:t>
      </w:r>
      <w:r>
        <w:rPr>
          <w:u w:val="single"/>
        </w:rPr>
        <w:t>Section 4.2</w:t>
      </w:r>
      <w:r>
        <w:rPr/>
        <w:t>, each Party shall pay to the other Party all additional amounts payable by it pursuant to this Agreement, but all such amounts shall be netted and aggregated with any Termination Payment payable hereunder.</w:t>
      </w:r>
    </w:p>
    <w:p>
      <w:pPr>
        <w:pStyle w:val="Heading6"/>
        <w:rPr/>
      </w:pPr>
      <w:r>
        <w:rPr/>
        <w:fldChar w:fldCharType="begin"/>
      </w:r>
      <w:r>
        <w:rPr/>
        <w:instrText xml:space="preserve"> SEQ AutoNr \* ARABIC </w:instrText>
      </w:r>
      <w:r>
        <w:rPr/>
        <w:fldChar w:fldCharType="separate"/>
      </w:r>
      <w:r>
        <w:rPr/>
        <w:t>21</w:t>
      </w:r>
      <w:r>
        <w:rPr/>
        <w:fldChar w:fldCharType="end"/>
      </w:r>
      <w:r>
        <w:rPr/>
        <w:tab/>
        <w:t>In the event of an occurrence of an Early Termination Date, if the Defaulting Party would be owed amounts in respect of the obligations relating to such occurrence of an Early Termination Date, the Non-Defaulting Party shall be entitled, at its option and in its discretion, to set-off against such amount any amounts payable by the Defaulting Party to the non-defaulting Party or any of its Affiliates under this Agreement or any other agreements, instruments or undertakings between the Defaulting Party and the Non-Defaulting Party or any of its Affiliates.  This Section shall be without prejudice and in addition to any right of setoff, combination of accounts, lien or other right to which any Party is at any time otherwise entitled (whether by operation of law, contract or otherwise).</w:t>
      </w:r>
    </w:p>
    <w:p>
      <w:pPr>
        <w:pStyle w:val="Heading6"/>
        <w:rPr>
          <w:b/>
        </w:rPr>
      </w:pPr>
      <w:r>
        <w:rPr/>
        <w:fldChar w:fldCharType="begin"/>
      </w:r>
      <w:r>
        <w:rPr/>
        <w:instrText xml:space="preserve"> SEQ AutoNr \* ARABIC </w:instrText>
      </w:r>
      <w:r>
        <w:rPr/>
        <w:fldChar w:fldCharType="separate"/>
      </w:r>
      <w:r>
        <w:rPr/>
        <w:t>22</w:t>
      </w:r>
      <w:r>
        <w:rPr/>
        <w:fldChar w:fldCharType="end"/>
      </w:r>
      <w:r>
        <w:rPr/>
        <w:tab/>
        <w:t>Notwithstanding any other provision of this Agreement, if Buyer or Seller fails to pay to the other Party any amounts when due, the aggrieved Party shall have the right to (i) suspend performance under any or all Transactions until such amounts plus interest at the Interest Rate have been paid and/or (ii) exercise any remedy available at law or in equity to enforce payment of such amount plus interest at the Interest Rate; provided, however, if the non-paying Party, in good faith, shall dispute the amount of any such billing or part thereof and shall pay such amounts as it concedes to be correct, no suspension shall be permitted.</w:t>
      </w:r>
    </w:p>
    <w:p>
      <w:pPr>
        <w:pStyle w:val="Heading2"/>
        <w:ind w:hanging="0" w:start="0"/>
        <w:rPr/>
      </w:pPr>
      <w:r>
        <w:rPr/>
        <w:fldChar w:fldCharType="begin"/>
      </w:r>
      <w:r>
        <w:rPr/>
        <w:instrText xml:space="preserve"> SEQ AutoNr \* ARABIC </w:instrText>
      </w:r>
      <w:r>
        <w:rPr/>
        <w:fldChar w:fldCharType="separate"/>
      </w:r>
      <w:r>
        <w:rPr/>
        <w:t>23</w:t>
      </w:r>
      <w:r>
        <w:rPr/>
        <w:fldChar w:fldCharType="end"/>
      </w:r>
      <w:r>
        <w:rPr/>
        <w:tab/>
      </w:r>
      <w:r>
        <w:rPr>
          <w:b/>
          <w:u w:val="single"/>
        </w:rPr>
        <w:t>Other Events</w:t>
      </w:r>
      <w:r>
        <w:rPr/>
        <w:t xml:space="preserve">. In the event Buyer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a Party’s (the "Affected Party") activities hereunder become subject to regulation of any kind whatsoever under any law (other than with respect to Stranded Costs) to a greater or different extent than that existing on the Effective Date and such regulation renders this Agreement illegal or unenforceable, either Party then shall at such time have the right to declare an Early Termination Date in accordance with the provisions hereof; provided, notwithstanding the rights of the Parties to declare an Early Termination Date as above stated, the appropriate Party shall be liable for payment of the Termination Payment as provided in </w:t>
      </w:r>
      <w:r>
        <w:rPr>
          <w:u w:val="single"/>
        </w:rPr>
        <w:t>Section 4.2</w:t>
      </w:r>
      <w:r>
        <w:rPr/>
        <w:t xml:space="preserve"> calculated by the Non-Affected Party.</w:t>
      </w:r>
    </w:p>
    <w:p>
      <w:pPr>
        <w:pStyle w:val="Heading2"/>
        <w:ind w:hanging="0" w:start="0"/>
        <w:rPr>
          <w:u w:val="single"/>
        </w:rPr>
      </w:pPr>
      <w:r>
        <w:rPr/>
        <w:fldChar w:fldCharType="begin"/>
      </w:r>
      <w:r>
        <w:rPr/>
        <w:instrText xml:space="preserve"> SEQ AutoNr \* ARABIC </w:instrText>
      </w:r>
      <w:r>
        <w:rPr/>
        <w:fldChar w:fldCharType="separate"/>
      </w:r>
      <w:r>
        <w:rPr/>
        <w:t>24</w:t>
      </w:r>
      <w:r>
        <w:rPr/>
        <w:fldChar w:fldCharType="end"/>
      </w:r>
      <w:r>
        <w:rPr/>
        <w:tab/>
      </w:r>
      <w:r>
        <w:rPr>
          <w:b/>
          <w:u w:val="single"/>
        </w:rPr>
        <w:t>Security</w:t>
      </w:r>
      <w:r>
        <w:rPr>
          <w:b/>
        </w:rPr>
        <w:t>.  SEE  RIDER SECURITY</w:t>
      </w:r>
    </w:p>
    <w:p>
      <w:pPr>
        <w:pStyle w:val="Heading1"/>
        <w:spacing w:before="0" w:after="120"/>
        <w:ind w:hanging="0" w:start="0"/>
        <w:rPr/>
      </w:pPr>
      <w:r>
        <w:rPr/>
        <w:t xml:space="preserve">SECTION </w:t>
      </w:r>
      <w:r>
        <w:rPr/>
        <w:fldChar w:fldCharType="begin"/>
      </w:r>
      <w:r>
        <w:rPr/>
        <w:instrText xml:space="preserve"> SEQ AutoNr \* ARABIC </w:instrText>
      </w:r>
      <w:r>
        <w:rPr/>
        <w:fldChar w:fldCharType="separate"/>
      </w:r>
      <w:r>
        <w:rPr/>
        <w:t>25</w:t>
      </w:r>
      <w:r>
        <w:rPr/>
        <w:fldChar w:fldCharType="end"/>
      </w:r>
      <w:r>
        <w:rPr/>
        <w:br/>
        <w:t>LIMITATIONS; DUTY TO MITIGATE</w:t>
      </w:r>
    </w:p>
    <w:p>
      <w:pPr>
        <w:pStyle w:val="Heading2"/>
        <w:ind w:hanging="0" w:start="0"/>
        <w:rPr/>
      </w:pPr>
      <w:r>
        <w:rPr/>
        <w:fldChar w:fldCharType="begin"/>
      </w:r>
      <w:r>
        <w:rPr/>
        <w:instrText xml:space="preserve"> SEQ AutoNr \* ARABIC </w:instrText>
      </w:r>
      <w:r>
        <w:rPr/>
        <w:fldChar w:fldCharType="separate"/>
      </w:r>
      <w:r>
        <w:rPr/>
        <w:t>26</w:t>
      </w:r>
      <w:r>
        <w:rPr/>
        <w:fldChar w:fldCharType="end"/>
      </w:r>
      <w:r>
        <w:rPr/>
        <w:tab/>
      </w:r>
      <w:r>
        <w:rPr>
          <w:b/>
          <w:u w:val="single"/>
        </w:rPr>
        <w:t>Limitation of Remedies, Liability and Damages</w:t>
      </w:r>
      <w:r>
        <w:rPr/>
        <w:t xml:space="preserve">.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w:t>
      </w:r>
      <w:r>
        <w:rPr>
          <w:b/>
        </w:rPr>
        <w:t>See Rider Anticipatory Repudiation</w:t>
      </w:r>
      <w:r>
        <w:rPr/>
        <w:t xml:space="preserve">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Heading2"/>
        <w:ind w:hanging="0" w:start="0"/>
        <w:rPr/>
      </w:pPr>
      <w:r>
        <w:rPr/>
        <w:fldChar w:fldCharType="begin"/>
      </w:r>
      <w:r>
        <w:rPr/>
        <w:instrText xml:space="preserve"> SEQ AutoNr \* ARABIC </w:instrText>
      </w:r>
      <w:r>
        <w:rPr/>
        <w:fldChar w:fldCharType="separate"/>
      </w:r>
      <w:r>
        <w:rPr/>
        <w:t>27</w:t>
      </w:r>
      <w:r>
        <w:rPr/>
        <w:fldChar w:fldCharType="end"/>
      </w:r>
      <w:r>
        <w:rPr/>
        <w:tab/>
      </w:r>
      <w:r>
        <w:rPr>
          <w:b/>
          <w:u w:val="single"/>
        </w:rPr>
        <w:t>Duty to Mitigate</w:t>
      </w:r>
      <w:r>
        <w:rPr/>
        <w:t>.  Each Party agrees that it has a duty to mitigate damages and covenants that it will use commercially reasonable efforts to minimize any damages it may incur as a result of the other Party’s performance or non-performance of this Agreement.</w:t>
      </w:r>
    </w:p>
    <w:p>
      <w:pPr>
        <w:pStyle w:val="Heading2"/>
        <w:ind w:hanging="0" w:start="0"/>
        <w:rPr/>
      </w:pPr>
      <w:r>
        <w:rPr/>
        <w:fldChar w:fldCharType="begin"/>
      </w:r>
      <w:r>
        <w:rPr/>
        <w:instrText xml:space="preserve"> SEQ AutoNr \* ARABIC </w:instrText>
      </w:r>
      <w:r>
        <w:rPr/>
        <w:fldChar w:fldCharType="separate"/>
      </w:r>
      <w:r>
        <w:rPr/>
        <w:t>28</w:t>
      </w:r>
      <w:r>
        <w:rPr/>
        <w:fldChar w:fldCharType="end"/>
      </w:r>
      <w:r>
        <w:rPr/>
        <w:tab/>
      </w:r>
      <w:r>
        <w:rPr>
          <w:b/>
          <w:u w:val="single"/>
        </w:rPr>
        <w:t>UCC</w:t>
      </w:r>
      <w:r>
        <w:rPr/>
        <w:t>.  Except as otherwise provided for herein, the provisions of the Uniform Commercial Code ("UCC") of the state whose laws shall govern this Agreement shall be deemed to apply to all Transactions and Energy shall be deemed to be a "good" for purposes of the UCC.  EXCEPT AS EXPRESSLY SET FORTH HEREIN, SELLER EXPRESSLY NEGATES ANY OTHER REPRESENTATION OR WARRANTY, WRITTEN OR ORAL, EXPRESS OR IMPLIED, INCLUDING, WITHOUT LIMITATION, ANY REPRESENTATION OR WARRANTY WITH RESPECT TO CONFORMITY TO MODELS OR SAMPLES, MERCHANTABILITY, OR FITNESS FOR ANY PARTICULAR PURPOSE.</w:t>
      </w:r>
    </w:p>
    <w:p>
      <w:pPr>
        <w:pStyle w:val="Heading1"/>
        <w:spacing w:before="0" w:after="120"/>
        <w:ind w:hanging="0" w:start="0"/>
        <w:rPr/>
      </w:pPr>
      <w:r>
        <w:rPr/>
        <w:t xml:space="preserve">SECTION </w:t>
      </w:r>
      <w:r>
        <w:rPr/>
        <w:fldChar w:fldCharType="begin"/>
      </w:r>
      <w:r>
        <w:rPr/>
        <w:instrText xml:space="preserve"> SEQ AutoNr \* ARABIC </w:instrText>
      </w:r>
      <w:r>
        <w:rPr/>
        <w:fldChar w:fldCharType="separate"/>
      </w:r>
      <w:r>
        <w:rPr/>
        <w:t>29</w:t>
      </w:r>
      <w:r>
        <w:rPr/>
        <w:fldChar w:fldCharType="end"/>
      </w:r>
      <w:r>
        <w:rPr/>
        <w:br/>
        <w:t>BILLING; PAYMENT</w:t>
      </w:r>
    </w:p>
    <w:p>
      <w:pPr>
        <w:pStyle w:val="Heading2"/>
        <w:ind w:hanging="0" w:start="0"/>
        <w:rPr/>
      </w:pPr>
      <w:r>
        <w:rPr/>
        <w:fldChar w:fldCharType="begin"/>
      </w:r>
      <w:r>
        <w:rPr/>
        <w:instrText xml:space="preserve"> SEQ AutoNr \* ARABIC </w:instrText>
      </w:r>
      <w:r>
        <w:rPr/>
        <w:fldChar w:fldCharType="separate"/>
      </w:r>
      <w:r>
        <w:rPr/>
        <w:t>30</w:t>
      </w:r>
      <w:r>
        <w:rPr/>
        <w:fldChar w:fldCharType="end"/>
      </w:r>
      <w:r>
        <w:rPr/>
        <w:tab/>
      </w:r>
      <w:r>
        <w:rPr>
          <w:b/>
          <w:u w:val="single"/>
        </w:rPr>
        <w:t>Billing and Payment</w:t>
      </w:r>
      <w:r>
        <w:rPr/>
        <w:t>.  Seller shall render to Buyer (by regular mail, facsimile or other acceptable means pursuant to </w:t>
      </w:r>
      <w:r>
        <w:rPr>
          <w:u w:val="single"/>
        </w:rPr>
        <w:t>Section 8.3</w:t>
      </w:r>
      <w:r>
        <w:rPr/>
        <w:t>) for each calendar month during which purchases/sales are made, a statement setting forth the total quantity of Energy that was Scheduled or that Buyer was obligated to purchase and any other charges due Seller, including Demand Charges or payments or credits between the Parties pursuant to </w:t>
      </w:r>
      <w:r>
        <w:rPr>
          <w:u w:val="single"/>
        </w:rPr>
        <w:t>Section 3.5</w:t>
      </w:r>
      <w:r>
        <w:rPr/>
        <w:t>, under this Agreement during the preceding month and the amounts due</w:t>
      </w:r>
      <w:r>
        <w:rPr>
          <w:b/>
        </w:rPr>
        <w:t xml:space="preserve"> </w:t>
      </w:r>
      <w:r>
        <w:rPr/>
        <w:t>to Seller from Buyer therefor.  Billing and payment will be based on Scheduled hourly quantities.  On or before five (5) days after receipt of Seller’s statement or if such day is not a Business Day, the immediately following Business Day, Buyer shall render, by wire transfer, the amount set forth on such statement to the payment address provided in </w:t>
      </w:r>
      <w:r>
        <w:rPr>
          <w:u w:val="single"/>
        </w:rPr>
        <w:t>Exhibit "A"</w:t>
      </w:r>
      <w:r>
        <w:rPr/>
        <w:t>.  Overdue payments shall accrue interest from, and including, the due date to, but excluding, the date of payment at the Interest Rate.  If Buyer, in good faith, disputes a statement, Buyer shall provide a written explanation of the basis for the dispute and pay the portion of such statement conceded to be correct no later than the due date.  If any amount disputed by Buyer is determined to be due to Seller, it shall be paid within ten days of such determination, along with interest accrued at the Interest Rate until the date paid.</w:t>
      </w:r>
    </w:p>
    <w:p>
      <w:pPr>
        <w:pStyle w:val="Heading2"/>
        <w:ind w:hanging="0" w:start="0"/>
        <w:rPr/>
      </w:pPr>
      <w:r>
        <w:rPr/>
        <w:fldChar w:fldCharType="begin"/>
      </w:r>
      <w:r>
        <w:rPr/>
        <w:instrText xml:space="preserve"> SEQ AutoNr \* ARABIC </w:instrText>
      </w:r>
      <w:r>
        <w:rPr/>
        <w:fldChar w:fldCharType="separate"/>
      </w:r>
      <w:r>
        <w:rPr/>
        <w:t>31</w:t>
      </w:r>
      <w:r>
        <w:rPr/>
        <w:fldChar w:fldCharType="end"/>
      </w:r>
      <w:r>
        <w:rPr/>
        <w:tab/>
      </w:r>
      <w:r>
        <w:rPr>
          <w:b/>
          <w:u w:val="single"/>
        </w:rPr>
        <w:t>Netting/Setoff</w:t>
      </w:r>
      <w:r>
        <w:rPr/>
        <w:t>.  If Buyer and Seller are each required to pay an amount in the same month, then such amounts with respect to each Party shall be aggregated and the Parties shall discharge their obligations to pay through netting, in which case the Party, if any, owing the greater aggregate amount shall pay to the other Party the difference between the amounts owed.  Each Party reserves to itself all rights, setoffs, counterclaims and other remedies and defenses consistent with </w:t>
      </w:r>
      <w:r>
        <w:rPr>
          <w:u w:val="single"/>
        </w:rPr>
        <w:t>Section 5</w:t>
      </w:r>
      <w:r>
        <w:rPr/>
        <w:t xml:space="preserve"> (to the extent not expressly herein waived or denied) which such Party has or may be entitled to arising from or out of this Agreement.  All outstanding Transactions and the obligations to make payment in connection therewith or under this Agreement or any other agreement between the Parties may be offset against each other, set off or recouped therefrom. </w:t>
      </w:r>
    </w:p>
    <w:p>
      <w:pPr>
        <w:pStyle w:val="Heading2"/>
        <w:ind w:hanging="0" w:start="0"/>
        <w:rPr/>
      </w:pPr>
      <w:r>
        <w:rPr/>
        <w:fldChar w:fldCharType="begin"/>
      </w:r>
      <w:r>
        <w:rPr/>
        <w:instrText xml:space="preserve"> SEQ AutoNr \* ARABIC </w:instrText>
      </w:r>
      <w:r>
        <w:rPr/>
        <w:fldChar w:fldCharType="separate"/>
      </w:r>
      <w:r>
        <w:rPr/>
        <w:t>32</w:t>
      </w:r>
      <w:r>
        <w:rPr/>
        <w:fldChar w:fldCharType="end"/>
      </w:r>
      <w:r>
        <w:rPr/>
        <w:tab/>
      </w:r>
      <w:r>
        <w:rPr>
          <w:b/>
          <w:u w:val="single"/>
        </w:rPr>
        <w:t>Audit</w:t>
      </w:r>
      <w:r>
        <w:rPr/>
        <w:t>.  Each Party (and its representative(s)) has the right, at its sole expense and during normal working hours, to examine the records of the other Party to the extent reasonably necessary to verify the accuracy of any statement, charge or computation made pursuant to this Agreement.  If requested, a Party shall provide to the other Party statements evidencing the quantities of Energy delivered at the Delivery Point.  If any such examination reveals any inaccuracy in any statement, the necessary adjustments in such statement and the payments thereof will be promptly made and shall bear interest calculated at the Interest Rate from the date the overpayment or underpayment was made until paid; provided, however, that no adjustment for any statement or payment will be made unless objection to the accuracy thereof was made prior to the lapse of two years from the rendition thereof; and provided further that this agreement will survive any termination of the Agreement for a period of two years from the date of such termination for the purpose of such statement and payment objections.</w:t>
      </w:r>
    </w:p>
    <w:p>
      <w:pPr>
        <w:pStyle w:val="Heading1"/>
        <w:spacing w:before="0" w:after="120"/>
        <w:ind w:hanging="0" w:start="0"/>
        <w:rPr/>
      </w:pPr>
      <w:r>
        <w:rPr/>
        <w:t xml:space="preserve">SECTION </w:t>
      </w:r>
      <w:r>
        <w:rPr/>
        <w:fldChar w:fldCharType="begin"/>
      </w:r>
      <w:r>
        <w:rPr/>
        <w:instrText xml:space="preserve"> SEQ AutoNr \* ARABIC </w:instrText>
      </w:r>
      <w:r>
        <w:rPr/>
        <w:fldChar w:fldCharType="separate"/>
      </w:r>
      <w:r>
        <w:rPr/>
        <w:t>33</w:t>
      </w:r>
      <w:r>
        <w:rPr/>
        <w:fldChar w:fldCharType="end"/>
      </w:r>
      <w:r>
        <w:rPr/>
        <w:br/>
        <w:t>TAXES</w:t>
      </w:r>
    </w:p>
    <w:p>
      <w:pPr>
        <w:pStyle w:val="Heading2"/>
        <w:ind w:hanging="0" w:start="0"/>
        <w:rPr/>
      </w:pPr>
      <w:r>
        <w:rPr/>
        <w:fldChar w:fldCharType="begin"/>
      </w:r>
      <w:r>
        <w:rPr/>
        <w:instrText xml:space="preserve"> SEQ AutoNr \* ARABIC </w:instrText>
      </w:r>
      <w:r>
        <w:rPr/>
        <w:fldChar w:fldCharType="separate"/>
      </w:r>
      <w:r>
        <w:rPr/>
        <w:t>34</w:t>
      </w:r>
      <w:r>
        <w:rPr/>
        <w:fldChar w:fldCharType="end"/>
      </w:r>
      <w:r>
        <w:rPr/>
        <w:tab/>
      </w:r>
      <w:r>
        <w:rPr>
          <w:b/>
          <w:u w:val="single"/>
        </w:rPr>
        <w:t>Taxes</w:t>
      </w:r>
      <w:r>
        <w:rPr/>
        <w:t xml:space="preserve">  The Contract Price shall include full reimbursement for, and Seller is liable for and shall pay, or cause to be paid, or reimburse Buyer if Buyer has paid, all Taxes applicable to a Transaction arising prior to the Delivery Point. If Buyer is required to remit such Tax, the amount shall be deducted from any sums due to Seller.  Seller shall indemnify, defend and hold harmless Buyer from any Claims for such Taxes.  The Contract Price does not include reimbursement for, and Buyer is liable for and shall pay, cause to be paid, or reimburse Seller if Seller has paid, all Taxes applicable to a Transaction arising at and from the Delivery Point, including any Taxes imposed or collected by a taxing authority with jurisdiction over Buyer.  Buyer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Agreement and implement the provisions in accordance with the intent to minimize Taxes.</w:t>
      </w:r>
    </w:p>
    <w:p>
      <w:pPr>
        <w:pStyle w:val="Heading1"/>
        <w:spacing w:before="0" w:after="120"/>
        <w:ind w:hanging="0" w:start="0"/>
        <w:rPr/>
      </w:pPr>
      <w:r>
        <w:rPr/>
        <w:t xml:space="preserve">SECTION </w:t>
      </w:r>
      <w:r>
        <w:rPr/>
        <w:fldChar w:fldCharType="begin"/>
      </w:r>
      <w:r>
        <w:rPr/>
        <w:instrText xml:space="preserve"> SEQ AutoNr \* ARABIC </w:instrText>
      </w:r>
      <w:r>
        <w:rPr/>
        <w:fldChar w:fldCharType="separate"/>
      </w:r>
      <w:r>
        <w:rPr/>
        <w:t>35</w:t>
      </w:r>
      <w:r>
        <w:rPr/>
        <w:fldChar w:fldCharType="end"/>
      </w:r>
      <w:r>
        <w:rPr/>
        <w:br/>
        <w:t>MISCELLANEOUS</w:t>
      </w:r>
    </w:p>
    <w:p>
      <w:pPr>
        <w:pStyle w:val="Heading2"/>
        <w:ind w:hanging="0" w:start="0"/>
        <w:rPr/>
      </w:pPr>
      <w:r>
        <w:rPr/>
        <w:fldChar w:fldCharType="begin"/>
      </w:r>
      <w:r>
        <w:rPr/>
        <w:instrText xml:space="preserve"> SEQ AutoNr \* ARABIC </w:instrText>
      </w:r>
      <w:r>
        <w:rPr/>
        <w:fldChar w:fldCharType="separate"/>
      </w:r>
      <w:r>
        <w:rPr/>
        <w:t>36</w:t>
      </w:r>
      <w:r>
        <w:rPr/>
        <w:fldChar w:fldCharType="end"/>
      </w:r>
      <w:r>
        <w:rPr/>
        <w:tab/>
      </w:r>
      <w:r>
        <w:rPr>
          <w:b/>
          <w:u w:val="single"/>
        </w:rPr>
        <w:t>Assignment</w:t>
      </w:r>
      <w:r>
        <w:rPr/>
        <w:t>.  Neither Party shall assign this Agreement or its rights hereunder without the prior written consent of the other Party, which consent may be withheld in its sole discretion; provided, however, either Party may, without the consent of (but with notice to) the other Party (and without relieving itself from liability hereunder), (i) transfer, sell, pledge, encumber or assign this Agreement or the accounts, revenues or proceeds hereof in connection with any financing or other financial arrangements, (ii) transfer or assign this Agreement to an Affiliate of such Party, or (iii) transfer or assign this Agreement to any person or entity succeeding to all or substantially all of the assets of such Party; provided, however, that in each such case, any such assignee shall agree in writing to be bound by the terms and conditions hereof.</w:t>
      </w:r>
    </w:p>
    <w:p>
      <w:pPr>
        <w:pStyle w:val="Heading2"/>
        <w:ind w:hanging="0" w:start="0"/>
        <w:rPr/>
      </w:pPr>
      <w:r>
        <w:rPr/>
        <w:fldChar w:fldCharType="begin"/>
      </w:r>
      <w:r>
        <w:rPr/>
        <w:instrText xml:space="preserve"> SEQ AutoNr \* ARABIC </w:instrText>
      </w:r>
      <w:r>
        <w:rPr/>
        <w:fldChar w:fldCharType="separate"/>
      </w:r>
      <w:r>
        <w:rPr/>
        <w:t>37</w:t>
      </w:r>
      <w:r>
        <w:rPr/>
        <w:fldChar w:fldCharType="end"/>
      </w:r>
      <w:r>
        <w:rPr/>
        <w:tab/>
      </w:r>
      <w:r>
        <w:rPr>
          <w:b/>
          <w:u w:val="single"/>
        </w:rPr>
        <w:t>Financial Information</w:t>
      </w:r>
      <w:r>
        <w:rPr/>
        <w:t>.  If requested by Counterparty, EPMI shall deliver (i) within 120 days following the end of each fiscal year, a copy of the annual report of Enron Corp. containing audited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EPMI, Counterparty or its Guarantor shall deliver (i) within 120 days following the end of each fiscal year, a copy of the annual report of ___________________ containing audited consolidated financial statements for such fiscal year certified by independent certified public accountants and (ii) within 60 days after the end of each of its first three fiscal quarters of each fiscal year, a copy of the quarterly report of ________________ containing unaudited consolidated financial statements for such fiscal quarter.  In all cases the statements shall be for the most recent accounting period and prepared in accordance with GAAP or such other principles then in effect; provided, should any such statements not be available timely due to a delay in preparation or certification, such delay shall not be considered a default so long as such Party diligently pursues the preparation, certification and delivery of the statements.</w:t>
      </w:r>
    </w:p>
    <w:p>
      <w:pPr>
        <w:pStyle w:val="Heading2"/>
        <w:ind w:hanging="0" w:start="0"/>
        <w:rPr/>
      </w:pPr>
      <w:r>
        <w:rPr/>
        <w:fldChar w:fldCharType="begin"/>
      </w:r>
      <w:r>
        <w:rPr/>
        <w:instrText xml:space="preserve"> SEQ AutoNr \* ARABIC </w:instrText>
      </w:r>
      <w:r>
        <w:rPr/>
        <w:fldChar w:fldCharType="separate"/>
      </w:r>
      <w:r>
        <w:rPr/>
        <w:t>38</w:t>
      </w:r>
      <w:r>
        <w:rPr/>
        <w:fldChar w:fldCharType="end"/>
      </w:r>
      <w:r>
        <w:rPr/>
        <w:tab/>
      </w:r>
      <w:r>
        <w:rPr>
          <w:b/>
          <w:u w:val="single"/>
        </w:rPr>
        <w:t>Notices</w:t>
      </w:r>
      <w:r>
        <w:rPr/>
        <w:t>.  All notices, requests, statements or payments shall be made as specified in </w:t>
      </w:r>
      <w:r>
        <w:rPr>
          <w:u w:val="single"/>
        </w:rPr>
        <w:t>Exhibit "A"</w:t>
      </w:r>
      <w:r>
        <w:rPr/>
        <w:t xml:space="preserve">. Notices required to be in writing shall be delivered by letter, facsimile or other documentary form.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Business Days after it was sent.  A Party may change its addresses by providing notice of same in accordance herewith. </w:t>
      </w:r>
    </w:p>
    <w:p>
      <w:pPr>
        <w:pStyle w:val="Heading2"/>
        <w:ind w:hanging="0" w:start="0"/>
        <w:rPr/>
      </w:pPr>
      <w:r>
        <w:rPr/>
        <w:fldChar w:fldCharType="begin"/>
      </w:r>
      <w:r>
        <w:rPr/>
        <w:instrText xml:space="preserve"> SEQ AutoNr \* ARABIC </w:instrText>
      </w:r>
      <w:r>
        <w:rPr/>
        <w:fldChar w:fldCharType="separate"/>
      </w:r>
      <w:r>
        <w:rPr/>
        <w:t>39</w:t>
      </w:r>
      <w:r>
        <w:rPr/>
        <w:fldChar w:fldCharType="end"/>
      </w:r>
      <w:r>
        <w:rPr/>
        <w:tab/>
      </w:r>
      <w:r>
        <w:rPr>
          <w:b/>
          <w:u w:val="single"/>
        </w:rPr>
        <w:t>Confidentiality</w:t>
      </w:r>
      <w:r>
        <w:rPr>
          <w:b/>
        </w:rPr>
        <w:t>.</w:t>
      </w:r>
      <w:r>
        <w:rPr/>
        <w:t xml:space="preserve">  Neither Party shall disclose the terms or conditions of this Agreement to a third party (other than the Party's and its Affiliates' employees, lenders, counsel, accountants or advisors who have a need to know such information and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Heading2"/>
        <w:ind w:hanging="0" w:start="0"/>
        <w:rPr/>
      </w:pPr>
      <w:r>
        <w:rPr/>
        <w:fldChar w:fldCharType="begin"/>
      </w:r>
      <w:r>
        <w:rPr/>
        <w:instrText xml:space="preserve"> SEQ AutoNr \* ARABIC </w:instrText>
      </w:r>
      <w:r>
        <w:rPr/>
        <w:fldChar w:fldCharType="separate"/>
      </w:r>
      <w:r>
        <w:rPr/>
        <w:t>40</w:t>
      </w:r>
      <w:r>
        <w:rPr/>
        <w:fldChar w:fldCharType="end"/>
      </w:r>
      <w:r>
        <w:rPr/>
        <w:tab/>
      </w:r>
      <w:r>
        <w:rPr>
          <w:b/>
          <w:u w:val="single"/>
        </w:rPr>
        <w:t>Governing Law</w:t>
      </w:r>
      <w:r>
        <w:rPr/>
        <w:t>.  THIS AGREEMENT AND THE RIGHTS AND DUTIES OF THE PARTIES HEREUNDER SHALL BE GOVERNED BY AND CONSTRUED, ENFORCED AND PERFORMED IN ACCORDANCE WITH THE LAWS OF THE STATE OF TEXAS, WITHOUT REGARD TO PRINCIPLES OF CONFLICTS OF LAW.</w:t>
      </w:r>
    </w:p>
    <w:p>
      <w:pPr>
        <w:pStyle w:val="Normal"/>
        <w:spacing w:before="0" w:after="120"/>
        <w:rPr/>
      </w:pPr>
      <w:r>
        <w:rPr/>
        <w:t>8.6.</w:t>
        <w:tab/>
      </w:r>
      <w:r>
        <w:rPr>
          <w:b/>
          <w:u w:val="single"/>
        </w:rPr>
        <w:t>Arbitration</w:t>
      </w:r>
      <w:r>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Heading2"/>
        <w:ind w:hanging="0" w:start="0"/>
        <w:rPr/>
      </w:pPr>
      <w:r>
        <w:rPr/>
        <w:t>8.7.</w:t>
        <w:tab/>
      </w:r>
      <w:r>
        <w:rPr>
          <w:b/>
          <w:u w:val="single"/>
        </w:rPr>
        <w:t>Winding Up Arrangements</w:t>
      </w:r>
      <w:r>
        <w:rPr/>
        <w:t>.  All indemnity and audit rights shall survive the termination of this Agreement.  All obligations provided in this Agreement shall remain in effect for the purpose of complying herewith.</w:t>
      </w:r>
    </w:p>
    <w:p>
      <w:pPr>
        <w:pStyle w:val="Heading2"/>
        <w:ind w:hanging="0" w:start="0"/>
        <w:rPr/>
      </w:pPr>
      <w:r>
        <w:rPr/>
        <w:t>8.8.</w:t>
        <w:tab/>
      </w:r>
      <w:r>
        <w:rPr>
          <w:b/>
          <w:u w:val="single"/>
        </w:rPr>
        <w:t>General</w:t>
      </w:r>
      <w:r>
        <w:rPr/>
        <w:t>.  This Master Agreement, the Exhibits and Appendices hereto, if any, and each Transaction, constitute the entire agreement between the Parties relating to the subject matter contemplated by this Agreement.  No amendment or modification to this Master Agreement shall be enforceable unless reduced to writing and executed by both Parties.  Any Party in default under this Agreement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Agreement.  This Master Agreement shall not impart any rights enforceable by any third-party other than a permitted successor or assignee bound to this Agreement.  No waiver by a Party of any default by the other Party shall be construed as a waiver of any other default.  Nothing in this Master Agreement shall be construed to create a partnership or joint venture between the Parties.  Any provision declared or rendered unlawful by any applicable court of law or regulatory agency or deemed unlawful because of a statutory change will not otherwise affect the remaining lawful obligations that arise under this Agreement.  The term "including" when used in this Agreement shall be by way of example only and shall not be considered in any way to be in limitation.  The headings used herein are for convenience and reference purposes only.</w:t>
      </w:r>
    </w:p>
    <w:p>
      <w:pPr>
        <w:pStyle w:val="Justified"/>
        <w:keepNext w:val="true"/>
        <w:keepLines/>
        <w:rPr/>
      </w:pPr>
      <w:r>
        <w:rPr/>
        <w:tab/>
        <w:t>The Parties have executed this Master Agreement in multiple counterparts to be construed as one effective as of the Effective Date.</w:t>
      </w:r>
    </w:p>
    <w:p>
      <w:pPr>
        <w:pStyle w:val="Normal"/>
        <w:keepNext w:val="true"/>
        <w:keepLines/>
        <w:tabs>
          <w:tab w:val="clear" w:pos="720"/>
          <w:tab w:val="left" w:pos="5130" w:leader="none"/>
          <w:tab w:val="left" w:pos="9900" w:leader="none"/>
        </w:tabs>
        <w:ind w:start="4500" w:end="0"/>
        <w:rPr>
          <w:b/>
        </w:rPr>
      </w:pPr>
      <w:r>
        <w:rPr>
          <w:b/>
        </w:rPr>
        <w:t>ENRON POWER MARKETING, INC.</w:t>
      </w:r>
    </w:p>
    <w:p>
      <w:pPr>
        <w:pStyle w:val="Normal"/>
        <w:keepNext w:val="true"/>
        <w:keepLines/>
        <w:tabs>
          <w:tab w:val="clear" w:pos="720"/>
          <w:tab w:val="left" w:pos="5130" w:leader="none"/>
          <w:tab w:val="left" w:pos="9900" w:leader="none"/>
        </w:tabs>
        <w:ind w:start="4500" w:end="0"/>
        <w:rPr/>
      </w:pPr>
      <w:r>
        <w:rPr/>
      </w:r>
    </w:p>
    <w:p>
      <w:pPr>
        <w:pStyle w:val="Normal"/>
        <w:keepNext w:val="true"/>
        <w:keepLines/>
        <w:tabs>
          <w:tab w:val="clear" w:pos="720"/>
          <w:tab w:val="left" w:pos="9900" w:leader="none"/>
        </w:tabs>
        <w:spacing w:before="0" w:after="120"/>
        <w:ind w:start="4507" w:end="0"/>
        <w:rPr/>
      </w:pPr>
      <w:r>
        <w:rPr/>
        <w:t>By:</w:t>
      </w:r>
      <w:r>
        <w:rPr>
          <w:u w:val="single"/>
        </w:rPr>
        <w:tab/>
      </w:r>
    </w:p>
    <w:p>
      <w:pPr>
        <w:pStyle w:val="Normal"/>
        <w:keepNext w:val="true"/>
        <w:keepLines/>
        <w:tabs>
          <w:tab w:val="clear" w:pos="720"/>
          <w:tab w:val="left" w:pos="9900" w:leader="none"/>
        </w:tabs>
        <w:spacing w:before="0" w:after="120"/>
        <w:ind w:start="4507" w:end="0"/>
        <w:rPr/>
      </w:pPr>
      <w:r>
        <w:rPr/>
        <w:t>Name:</w:t>
      </w:r>
      <w:r>
        <w:rPr>
          <w:u w:val="single"/>
        </w:rPr>
        <w:tab/>
      </w:r>
    </w:p>
    <w:p>
      <w:pPr>
        <w:pStyle w:val="Normal"/>
        <w:keepNext w:val="true"/>
        <w:keepLines/>
        <w:tabs>
          <w:tab w:val="clear" w:pos="720"/>
          <w:tab w:val="left" w:pos="9900" w:leader="none"/>
        </w:tabs>
        <w:ind w:start="4500" w:end="0"/>
        <w:rPr/>
      </w:pPr>
      <w:r>
        <w:rPr/>
        <w:t>Title:</w:t>
      </w:r>
      <w:r>
        <w:rPr>
          <w:u w:val="single"/>
        </w:rPr>
        <w:tab/>
      </w:r>
    </w:p>
    <w:p>
      <w:pPr>
        <w:pStyle w:val="Normal"/>
        <w:keepNext w:val="true"/>
        <w:keepLines/>
        <w:tabs>
          <w:tab w:val="clear" w:pos="720"/>
          <w:tab w:val="left" w:pos="5130" w:leader="none"/>
          <w:tab w:val="left" w:pos="9900" w:leader="none"/>
        </w:tabs>
        <w:ind w:start="4500" w:end="0"/>
        <w:rPr/>
      </w:pPr>
      <w:r>
        <w:rPr/>
      </w:r>
    </w:p>
    <w:p>
      <w:pPr>
        <w:pStyle w:val="Normal"/>
        <w:keepNext w:val="true"/>
        <w:keepLines/>
        <w:tabs>
          <w:tab w:val="clear" w:pos="720"/>
          <w:tab w:val="left" w:pos="5130" w:leader="none"/>
          <w:tab w:val="left" w:pos="9900" w:leader="none"/>
        </w:tabs>
        <w:ind w:start="4500" w:end="0"/>
        <w:rPr>
          <w:b/>
        </w:rPr>
      </w:pPr>
      <w:r>
        <w:rPr>
          <w:b/>
        </w:rPr>
        <w:t>[COUNTERPARTY]</w:t>
      </w:r>
    </w:p>
    <w:p>
      <w:pPr>
        <w:pStyle w:val="Normal"/>
        <w:keepNext w:val="true"/>
        <w:keepLines/>
        <w:tabs>
          <w:tab w:val="clear" w:pos="720"/>
          <w:tab w:val="left" w:pos="5130" w:leader="none"/>
          <w:tab w:val="left" w:pos="9900" w:leader="none"/>
        </w:tabs>
        <w:ind w:start="4500" w:end="0"/>
        <w:rPr/>
      </w:pPr>
      <w:r>
        <w:rPr/>
      </w:r>
    </w:p>
    <w:p>
      <w:pPr>
        <w:pStyle w:val="Normal"/>
        <w:keepNext w:val="true"/>
        <w:keepLines/>
        <w:tabs>
          <w:tab w:val="clear" w:pos="720"/>
          <w:tab w:val="left" w:pos="9900" w:leader="none"/>
        </w:tabs>
        <w:spacing w:before="0" w:after="120"/>
        <w:ind w:start="4507" w:end="0"/>
        <w:rPr/>
      </w:pPr>
      <w:r>
        <w:rPr/>
        <w:t>By:</w:t>
      </w:r>
      <w:r>
        <w:rPr>
          <w:u w:val="single"/>
        </w:rPr>
        <w:tab/>
      </w:r>
    </w:p>
    <w:p>
      <w:pPr>
        <w:pStyle w:val="Normal"/>
        <w:tabs>
          <w:tab w:val="clear" w:pos="720"/>
          <w:tab w:val="left" w:pos="9900" w:leader="none"/>
        </w:tabs>
        <w:spacing w:before="0" w:after="120"/>
        <w:ind w:start="4507" w:end="0"/>
        <w:rPr/>
      </w:pPr>
      <w:r>
        <w:rPr/>
        <w:t>Name:</w:t>
      </w:r>
      <w:r>
        <w:rPr>
          <w:u w:val="single"/>
        </w:rPr>
        <w:tab/>
      </w:r>
    </w:p>
    <w:p>
      <w:pPr>
        <w:pStyle w:val="Normal"/>
        <w:tabs>
          <w:tab w:val="clear" w:pos="720"/>
          <w:tab w:val="left" w:pos="9900" w:leader="none"/>
        </w:tabs>
        <w:ind w:start="4500" w:end="0"/>
        <w:rPr/>
      </w:pPr>
      <w:r>
        <w:rPr/>
        <w:t>Title:</w:t>
      </w:r>
      <w:r>
        <w:rPr>
          <w:u w:val="single"/>
        </w:rPr>
        <w:tab/>
      </w:r>
    </w:p>
    <w:p>
      <w:pPr>
        <w:pStyle w:val="Normal"/>
        <w:jc w:val="center"/>
        <w:rPr>
          <w:b/>
          <w:u w:val="single"/>
        </w:rPr>
      </w:pPr>
      <w:r>
        <w:rPr>
          <w:b/>
          <w:u w:val="single"/>
        </w:rPr>
      </w:r>
      <w:r>
        <w:br w:type="page"/>
      </w:r>
    </w:p>
    <w:p>
      <w:pPr>
        <w:pStyle w:val="Normal"/>
        <w:jc w:val="center"/>
        <w:rPr>
          <w:b/>
          <w:u w:val="single"/>
        </w:rPr>
      </w:pPr>
      <w:r>
        <w:rPr>
          <w:b/>
          <w:u w:val="single"/>
        </w:rPr>
        <w:t>APPENDIX "1" - DEFINITIONS</w:t>
      </w:r>
    </w:p>
    <w:p>
      <w:pPr>
        <w:pStyle w:val="Normal"/>
        <w:jc w:val="center"/>
        <w:rPr>
          <w:b/>
        </w:rPr>
      </w:pPr>
      <w:r>
        <w:rPr>
          <w:b/>
        </w:rPr>
        <w:t>to the</w:t>
      </w:r>
    </w:p>
    <w:p>
      <w:pPr>
        <w:pStyle w:val="Normal"/>
        <w:jc w:val="center"/>
        <w:rPr>
          <w:b/>
          <w:u w:val="single"/>
        </w:rPr>
      </w:pPr>
      <w:r>
        <w:rPr>
          <w:b/>
        </w:rPr>
        <w:t>MASTER ENERGY PURCHASE AND SALE AGREEMENT</w:t>
      </w:r>
    </w:p>
    <w:p>
      <w:pPr>
        <w:pStyle w:val="Normal"/>
        <w:rPr>
          <w:b/>
          <w:u w:val="single"/>
        </w:rPr>
      </w:pPr>
      <w:r>
        <w:rPr>
          <w:b/>
          <w:u w:val="single"/>
        </w:rPr>
      </w:r>
    </w:p>
    <w:p>
      <w:pPr>
        <w:pStyle w:val="Justified"/>
        <w:rPr/>
      </w:pPr>
      <w:r>
        <w:rPr/>
        <w:tab/>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Justified"/>
        <w:rPr/>
      </w:pPr>
      <w:r>
        <w:rPr>
          <w:b/>
          <w:i/>
        </w:rPr>
        <w:t>"</w:t>
      </w:r>
      <w:r>
        <w:rPr>
          <w:b/>
          <w:i/>
          <w:u w:val="single"/>
        </w:rPr>
        <w:t>Affiliate</w:t>
      </w:r>
      <w:r>
        <w:rPr>
          <w:b/>
          <w:i/>
        </w:rPr>
        <w:t>"</w:t>
      </w:r>
      <w:r>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Justified"/>
        <w:rPr/>
      </w:pPr>
      <w:r>
        <w:rPr>
          <w:b/>
          <w:i/>
        </w:rPr>
        <w:t>"</w:t>
      </w:r>
      <w:r>
        <w:rPr>
          <w:b/>
          <w:i/>
          <w:u w:val="single"/>
        </w:rPr>
        <w:t>Bankruptcy Proceeding</w:t>
      </w:r>
      <w:r>
        <w:rPr>
          <w:b/>
          <w:i/>
        </w:rPr>
        <w:t>"</w:t>
      </w:r>
      <w:r>
        <w:rPr/>
        <w:t xml:space="preserve"> means with respect to a Party or entity, such Party or entity (i) makes an assignment or any general arrangement for the benefit of creditors, (ii) files a petition or otherwise commences, authorizes or acquiesces in the commencement of a proceeding or cause of action under any bankruptcy or similar law for the protection of creditors, or has such petition filed against it and such petition is not withdrawn or dismissed for 30 days after such filing, (iii) otherwise becomes bankrupt or insolvent (however evidenced) or (iv) is unable to pay its debts as they fall due.</w:t>
      </w:r>
    </w:p>
    <w:p>
      <w:pPr>
        <w:pStyle w:val="Justified"/>
        <w:rPr/>
      </w:pPr>
      <w:r>
        <w:rPr>
          <w:b/>
          <w:i/>
        </w:rPr>
        <w:t>"</w:t>
      </w:r>
      <w:r>
        <w:rPr>
          <w:b/>
          <w:i/>
          <w:u w:val="single"/>
        </w:rPr>
        <w:t>Business Day</w:t>
      </w:r>
      <w:r>
        <w:rPr>
          <w:b/>
          <w:i/>
        </w:rPr>
        <w:t>"</w:t>
      </w:r>
      <w:r>
        <w:rPr/>
        <w:t xml:space="preserve"> means a day on which Federal Reserve member banks in New York City are open for business; and a Business Day shall open at 8:00 a.m. and close at 5:00 p.m. local time for each Party’s principal place of business.</w:t>
      </w:r>
    </w:p>
    <w:p>
      <w:pPr>
        <w:pStyle w:val="Justified"/>
        <w:rPr/>
      </w:pPr>
      <w:r>
        <w:rPr>
          <w:b/>
          <w:i/>
        </w:rPr>
        <w:t>"</w:t>
      </w:r>
      <w:r>
        <w:rPr>
          <w:b/>
          <w:i/>
          <w:u w:val="single"/>
        </w:rPr>
        <w:t>Buyer</w:t>
      </w:r>
      <w:r>
        <w:rPr>
          <w:b/>
          <w:i/>
        </w:rPr>
        <w:t>"</w:t>
      </w:r>
      <w:r>
        <w:rPr/>
        <w:t xml:space="preserve"> means the Party to a Transaction who is obligated to purchase and receive, or cause to be received, Energy during a Delivery Term.</w:t>
      </w:r>
    </w:p>
    <w:p>
      <w:pPr>
        <w:pStyle w:val="Justified"/>
        <w:rPr/>
      </w:pPr>
      <w:r>
        <w:rPr>
          <w:b/>
          <w:i/>
        </w:rPr>
        <w:t>"</w:t>
      </w:r>
      <w:r>
        <w:rPr>
          <w:b/>
          <w:i/>
          <w:u w:val="single"/>
        </w:rPr>
        <w:t>Call Option</w:t>
      </w:r>
      <w:r>
        <w:rPr>
          <w:b/>
          <w:i/>
        </w:rPr>
        <w:t>"</w:t>
      </w:r>
      <w:r>
        <w:rPr/>
        <w:t xml:space="preserve"> means an option entitling, but not obligating, the option Buyer to purchase and receive Energy from the option Seller at a price equal to the Strike Price for the Delivery Term(s) for which the option may be exercised, all as agreed to by the Parties in a Transaction.</w:t>
      </w:r>
    </w:p>
    <w:p>
      <w:pPr>
        <w:pStyle w:val="Justified"/>
        <w:rPr/>
      </w:pPr>
      <w:r>
        <w:rPr>
          <w:b/>
          <w:i/>
        </w:rPr>
        <w:t>"</w:t>
      </w:r>
      <w:r>
        <w:rPr>
          <w:b/>
          <w:i/>
          <w:u w:val="single"/>
        </w:rPr>
        <w:t>Claims</w:t>
      </w:r>
      <w:r>
        <w:rPr>
          <w:b/>
          <w:i/>
        </w:rPr>
        <w:t>"</w:t>
      </w:r>
      <w:r>
        <w:rPr/>
        <w:t xml:space="preserve"> means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Justified"/>
        <w:rPr/>
      </w:pPr>
      <w:r>
        <w:rPr>
          <w:b/>
          <w:i/>
        </w:rPr>
        <w:t>"</w:t>
      </w:r>
      <w:r>
        <w:rPr>
          <w:b/>
          <w:i/>
          <w:u w:val="single"/>
        </w:rPr>
        <w:t>Confirmation Letter</w:t>
      </w:r>
      <w:r>
        <w:rPr>
          <w:b/>
          <w:i/>
        </w:rPr>
        <w:t>"</w:t>
      </w:r>
      <w:r>
        <w:rPr/>
        <w:t xml:space="preserve"> means a written notice confirming the specific terms of a Transaction which shall be in the form attached hereto as "</w:t>
      </w:r>
      <w:r>
        <w:rPr>
          <w:u w:val="single"/>
        </w:rPr>
        <w:t>Exhibit B</w:t>
      </w:r>
      <w:r>
        <w:rPr/>
        <w:t>".</w:t>
      </w:r>
    </w:p>
    <w:p>
      <w:pPr>
        <w:pStyle w:val="Justified"/>
        <w:rPr/>
      </w:pPr>
      <w:r>
        <w:rPr>
          <w:b/>
          <w:i/>
        </w:rPr>
        <w:t>"</w:t>
      </w:r>
      <w:r>
        <w:rPr>
          <w:b/>
          <w:i/>
          <w:u w:val="single"/>
        </w:rPr>
        <w:t>Contract Price</w:t>
      </w:r>
      <w:r>
        <w:rPr>
          <w:b/>
          <w:i/>
        </w:rPr>
        <w:t>"</w:t>
      </w:r>
      <w:r>
        <w:rPr/>
        <w:t xml:space="preserve"> means the price in $U.S. per MWh (unless otherwise provided for) to be paid by Buyer to Seller for the purchase of Energy, including the Energy Price, Demand Charges, Transmission Charges and any other charges, if any, pursuant to a Transaction.</w:t>
      </w:r>
    </w:p>
    <w:p>
      <w:pPr>
        <w:pStyle w:val="Justified"/>
        <w:rPr/>
      </w:pPr>
      <w:r>
        <w:rPr>
          <w:b/>
          <w:i/>
        </w:rPr>
        <w:t>"</w:t>
      </w:r>
      <w:r>
        <w:rPr>
          <w:b/>
          <w:i/>
          <w:u w:val="single"/>
        </w:rPr>
        <w:t>Contract Quantity</w:t>
      </w:r>
      <w:r>
        <w:rPr>
          <w:b/>
          <w:i/>
        </w:rPr>
        <w:t>"</w:t>
      </w:r>
      <w:r>
        <w:rPr/>
        <w:t xml:space="preserve"> means that quantity of Energy that Seller agrees to sell and deliver, or cause to be delivered, to Buyer, and that Buyer agrees to purchase and receive, or cause to be received, from Seller, pursuant to the terms of a Transaction.</w:t>
      </w:r>
    </w:p>
    <w:p>
      <w:pPr>
        <w:pStyle w:val="Justified"/>
        <w:rPr>
          <w:b/>
          <w:i/>
          <w:i/>
        </w:rPr>
      </w:pPr>
      <w:r>
        <w:rPr>
          <w:b/>
          <w:i/>
        </w:rPr>
        <w:t>"</w:t>
      </w:r>
      <w:r>
        <w:rPr>
          <w:b/>
          <w:i/>
          <w:u w:val="single"/>
        </w:rPr>
        <w:t>Costs</w:t>
      </w:r>
      <w:r>
        <w:rPr>
          <w:b/>
          <w:i/>
        </w:rPr>
        <w:t>"</w:t>
      </w:r>
      <w:r>
        <w:rPr/>
        <w:t xml:space="preserve"> shall have the meaning defined in </w:t>
      </w:r>
      <w:r>
        <w:rPr>
          <w:u w:val="single"/>
        </w:rPr>
        <w:t>Section 4.2(b)(i)</w:t>
      </w:r>
      <w:r>
        <w:rPr/>
        <w:t>.</w:t>
      </w:r>
    </w:p>
    <w:p>
      <w:pPr>
        <w:pStyle w:val="Justified"/>
        <w:rPr/>
      </w:pPr>
      <w:r>
        <w:rPr>
          <w:b/>
          <w:i/>
        </w:rPr>
        <w:t>"</w:t>
      </w:r>
      <w:r>
        <w:rPr>
          <w:b/>
          <w:i/>
          <w:u w:val="single"/>
        </w:rPr>
        <w:t>Delivery Point</w:t>
      </w:r>
      <w:r>
        <w:rPr>
          <w:b/>
          <w:i/>
        </w:rPr>
        <w:t>"</w:t>
      </w:r>
      <w:r>
        <w:rPr/>
        <w:t xml:space="preserve"> means the agreed point of delivery and receipt of Energy pursuant to a Transaction.</w:t>
      </w:r>
    </w:p>
    <w:p>
      <w:pPr>
        <w:pStyle w:val="Justified"/>
        <w:rPr/>
      </w:pPr>
      <w:r>
        <w:rPr>
          <w:b/>
          <w:i/>
        </w:rPr>
        <w:t>"</w:t>
      </w:r>
      <w:r>
        <w:rPr>
          <w:b/>
          <w:i/>
          <w:u w:val="single"/>
        </w:rPr>
        <w:t>Delivery Term</w:t>
      </w:r>
      <w:r>
        <w:rPr>
          <w:b/>
          <w:i/>
        </w:rPr>
        <w:t>"</w:t>
      </w:r>
      <w:r>
        <w:rPr/>
        <w:t xml:space="preserve"> means the period of time from the date physical delivery of the Energy is to commence to the date physical delivery is to terminate under a Transaction.</w:t>
      </w:r>
    </w:p>
    <w:p>
      <w:pPr>
        <w:pStyle w:val="Justified"/>
        <w:rPr/>
      </w:pPr>
      <w:r>
        <w:rPr>
          <w:b/>
          <w:i/>
        </w:rPr>
        <w:t>"</w:t>
      </w:r>
      <w:r>
        <w:rPr>
          <w:b/>
          <w:i/>
          <w:u w:val="single"/>
        </w:rPr>
        <w:t>Demand Charges</w:t>
      </w:r>
      <w:r>
        <w:rPr>
          <w:b/>
          <w:i/>
        </w:rPr>
        <w:t>"</w:t>
      </w:r>
      <w:r>
        <w:rPr/>
        <w:t xml:space="preserve"> mean the amount, if any, to be paid by Buyer to Seller for capacity as agreed to by the Parties in a Transaction.</w:t>
      </w:r>
    </w:p>
    <w:p>
      <w:pPr>
        <w:pStyle w:val="Justified"/>
        <w:rPr/>
      </w:pPr>
      <w:r>
        <w:rPr>
          <w:b/>
          <w:i/>
        </w:rPr>
        <w:t>"</w:t>
      </w:r>
      <w:r>
        <w:rPr>
          <w:b/>
          <w:i/>
          <w:u w:val="single"/>
        </w:rPr>
        <w:t>Energy</w:t>
      </w:r>
      <w:r>
        <w:rPr>
          <w:b/>
          <w:i/>
        </w:rPr>
        <w:t>"</w:t>
      </w:r>
      <w:r>
        <w:rPr/>
        <w:t xml:space="preserve"> means Merchantable Energy expressed in megawatt hours (MWh) or to the extent designated in the Confirmation, capacity or other related products and services and specifically includes the Commodity.</w:t>
      </w:r>
    </w:p>
    <w:p>
      <w:pPr>
        <w:pStyle w:val="Justified"/>
        <w:rPr/>
      </w:pPr>
      <w:r>
        <w:rPr>
          <w:b/>
          <w:i/>
        </w:rPr>
        <w:t>"</w:t>
      </w:r>
      <w:r>
        <w:rPr>
          <w:b/>
          <w:i/>
          <w:u w:val="single"/>
        </w:rPr>
        <w:t>Energy Price</w:t>
      </w:r>
      <w:r>
        <w:rPr>
          <w:b/>
          <w:i/>
        </w:rPr>
        <w:t>"</w:t>
      </w:r>
      <w:r>
        <w:rPr/>
        <w:t xml:space="preserve"> means the price in $U.S. (unless otherwise provided for) per MWh to be paid by Buyer to Seller for Energy in a Transaction.</w:t>
      </w:r>
    </w:p>
    <w:p>
      <w:pPr>
        <w:pStyle w:val="Justified"/>
        <w:rPr/>
      </w:pPr>
      <w:r>
        <w:rPr>
          <w:b/>
          <w:i/>
        </w:rPr>
        <w:t>"</w:t>
      </w:r>
      <w:r>
        <w:rPr>
          <w:b/>
          <w:i/>
          <w:u w:val="single"/>
        </w:rPr>
        <w:t>Equitable Defenses</w:t>
      </w:r>
      <w:r>
        <w:rPr>
          <w:b/>
          <w:i/>
        </w:rPr>
        <w:t>"</w:t>
      </w:r>
      <w:r>
        <w:rPr/>
        <w:t xml:space="preserve"> means any bankruptcy, insolvency, reorganization and other laws affecting creditor’s rights generally, and with regard to equitable remedies, the discretion of the court before which proceedings to obtain same may be pending.</w:t>
      </w:r>
    </w:p>
    <w:p>
      <w:pPr>
        <w:pStyle w:val="Justified"/>
        <w:rPr>
          <w:b/>
          <w:i/>
          <w:i/>
        </w:rPr>
      </w:pPr>
      <w:r>
        <w:rPr>
          <w:b/>
          <w:i/>
        </w:rPr>
        <w:t>"</w:t>
      </w:r>
      <w:r>
        <w:rPr>
          <w:b/>
          <w:i/>
          <w:u w:val="single"/>
        </w:rPr>
        <w:t>Event of Default</w:t>
      </w:r>
      <w:r>
        <w:rPr>
          <w:b/>
          <w:i/>
        </w:rPr>
        <w:t>"</w:t>
      </w:r>
      <w:r>
        <w:rPr/>
        <w:t xml:space="preserve"> shall have the meaning defined in </w:t>
      </w:r>
      <w:r>
        <w:rPr>
          <w:u w:val="single"/>
        </w:rPr>
        <w:t>Section 4.1</w:t>
      </w:r>
      <w:r>
        <w:rPr/>
        <w:t>.</w:t>
      </w:r>
    </w:p>
    <w:p>
      <w:pPr>
        <w:pStyle w:val="Justified"/>
        <w:rPr/>
      </w:pPr>
      <w:r>
        <w:rPr>
          <w:b/>
          <w:i/>
        </w:rPr>
        <w:t>"</w:t>
      </w:r>
      <w:r>
        <w:rPr>
          <w:b/>
          <w:i/>
          <w:u w:val="single"/>
        </w:rPr>
        <w:t>Firm</w:t>
      </w:r>
      <w:r>
        <w:rPr>
          <w:b/>
          <w:i/>
        </w:rPr>
        <w:t>"</w:t>
      </w:r>
      <w:r>
        <w:rPr/>
        <w:t xml:space="preserve"> means, with respect to a Transaction, that the only excuse for the failure to deliver Energy by Seller or the failure to receive Energy by the Buyer pursuant to a Transaction is Force Majeure or the other Party’s non-performance.</w:t>
      </w:r>
    </w:p>
    <w:p>
      <w:pPr>
        <w:pStyle w:val="Justified"/>
        <w:rPr/>
      </w:pPr>
      <w:r>
        <w:rPr>
          <w:b/>
          <w:i/>
        </w:rPr>
        <w:t>"</w:t>
      </w:r>
      <w:r>
        <w:rPr>
          <w:b/>
          <w:i/>
          <w:u w:val="single"/>
        </w:rPr>
        <w:t>Force Majeure</w:t>
      </w:r>
      <w:r>
        <w:rPr>
          <w:b/>
          <w:i/>
        </w:rPr>
        <w:t>"</w:t>
      </w:r>
      <w:r>
        <w:rPr/>
        <w:t xml:space="preserve"> means (with respect to Firm Transactions) an event not anticipated as of the date of the Transaction, which is not within the reasonable control of the Party (or in the case of third party obligations or facilities, the third party) claiming suspension (the "Claiming Party"), and which by the exercise of due diligence the Claiming Party is unable to overcome or obtain or cause to be obtained a commercially reasonable substitute therefor; provided, that neither (i) the loss of Buyer's markets nor Buyer's inability economically to use or resell Energy purchased hereunder nor (ii) Seller's ability to sell Energy to a market at a more advantageous price, shall constitute an event of Force Majeure.</w:t>
      </w:r>
    </w:p>
    <w:p>
      <w:pPr>
        <w:pStyle w:val="Justified"/>
        <w:rPr/>
      </w:pPr>
      <w:r>
        <w:rPr>
          <w:b/>
          <w:i/>
        </w:rPr>
        <w:t>"</w:t>
      </w:r>
      <w:r>
        <w:rPr>
          <w:b/>
          <w:i/>
          <w:u w:val="single"/>
        </w:rPr>
        <w:t>GAAP</w:t>
      </w:r>
      <w:r>
        <w:rPr>
          <w:b/>
          <w:i/>
        </w:rPr>
        <w:t>"</w:t>
      </w:r>
      <w:r>
        <w:rPr/>
        <w:t xml:space="preserve"> means generally accepted accounting principles, consistently applied.</w:t>
      </w:r>
    </w:p>
    <w:p>
      <w:pPr>
        <w:pStyle w:val="Justified"/>
        <w:rPr>
          <w:b/>
          <w:i/>
          <w:i/>
        </w:rPr>
      </w:pPr>
      <w:r>
        <w:rPr>
          <w:b/>
          <w:i/>
        </w:rPr>
        <w:t>"</w:t>
      </w:r>
      <w:r>
        <w:rPr>
          <w:b/>
          <w:i/>
          <w:u w:val="single"/>
        </w:rPr>
        <w:t>Gains</w:t>
      </w:r>
      <w:r>
        <w:rPr>
          <w:b/>
          <w:i/>
        </w:rPr>
        <w:t>"</w:t>
      </w:r>
      <w:r>
        <w:rPr/>
        <w:t xml:space="preserve"> shall have the meaning defined in Section </w:t>
      </w:r>
      <w:r>
        <w:rPr>
          <w:u w:val="single"/>
        </w:rPr>
        <w:t>4.2(b)(ii)</w:t>
      </w:r>
      <w:r>
        <w:rPr/>
        <w:t>.</w:t>
      </w:r>
    </w:p>
    <w:p>
      <w:pPr>
        <w:pStyle w:val="Justified"/>
        <w:rPr>
          <w:b/>
        </w:rPr>
      </w:pPr>
      <w:r>
        <w:rPr>
          <w:b/>
          <w:i/>
        </w:rPr>
        <w:t>"</w:t>
      </w:r>
      <w:r>
        <w:rPr>
          <w:b/>
          <w:i/>
          <w:u w:val="single"/>
        </w:rPr>
        <w:t>Guarantor</w:t>
      </w:r>
      <w:r>
        <w:rPr>
          <w:b/>
          <w:i/>
        </w:rPr>
        <w:t>"</w:t>
      </w:r>
      <w:r>
        <w:rPr/>
        <w:t xml:space="preserve"> means, as to EPMI, Enron Corp., and as to Counterparty, ________.</w:t>
      </w:r>
    </w:p>
    <w:p>
      <w:pPr>
        <w:pStyle w:val="Justified"/>
        <w:rPr/>
      </w:pPr>
      <w:r>
        <w:rPr>
          <w:b/>
          <w:i/>
        </w:rPr>
        <w:t>"</w:t>
      </w:r>
      <w:r>
        <w:rPr>
          <w:b/>
          <w:i/>
          <w:u w:val="single"/>
        </w:rPr>
        <w:t>Interest Rate</w:t>
      </w:r>
      <w:r>
        <w:rPr>
          <w:b/>
          <w:i/>
        </w:rPr>
        <w:t>"</w:t>
      </w:r>
      <w:r>
        <w:rPr/>
        <w:t xml:space="preserve"> means, for any date, two percent over the per annum rate of interest equal to the prime lending rate as may from time to time be published in the </w:t>
      </w:r>
      <w:r>
        <w:rPr>
          <w:u w:val="single"/>
        </w:rPr>
        <w:t>Wall Street Journal</w:t>
      </w:r>
      <w:r>
        <w:rPr/>
        <w:t xml:space="preserve"> under "Money Rates"; provided, the Interest Rate shall never exceed the maximum lawful rate permitted by applicable law.</w:t>
      </w:r>
    </w:p>
    <w:p>
      <w:pPr>
        <w:pStyle w:val="Justified"/>
        <w:rPr/>
      </w:pPr>
      <w:r>
        <w:rPr>
          <w:b/>
          <w:i/>
        </w:rPr>
        <w:t>"</w:t>
      </w:r>
      <w:r>
        <w:rPr>
          <w:b/>
          <w:i/>
          <w:u w:val="single"/>
        </w:rPr>
        <w:t>Law</w:t>
      </w:r>
      <w:r>
        <w:rPr>
          <w:b/>
          <w:i/>
        </w:rPr>
        <w:t>"</w:t>
      </w:r>
      <w:r>
        <w:rPr/>
        <w:t xml:space="preserve"> means any law, rule, regulation, order, writ, judgment, decree or other legal or regulatory determination by a court, regulatory agency or governmental authority of competent jurisdiction.</w:t>
      </w:r>
    </w:p>
    <w:p>
      <w:pPr>
        <w:pStyle w:val="Justified"/>
        <w:rPr/>
      </w:pPr>
      <w:r>
        <w:rPr>
          <w:b/>
          <w:i/>
        </w:rPr>
        <w:t>"</w:t>
      </w:r>
      <w:r>
        <w:rPr>
          <w:b/>
          <w:i/>
          <w:u w:val="single"/>
        </w:rPr>
        <w:t>Legal Proceedings</w:t>
      </w:r>
      <w:r>
        <w:rPr>
          <w:b/>
          <w:i/>
        </w:rPr>
        <w:t>"</w:t>
      </w:r>
      <w:r>
        <w:rPr/>
        <w:t xml:space="preserve"> means any suits, proceedings, judgments, rulings or orders by or before any court or any governmental authority.</w:t>
      </w:r>
    </w:p>
    <w:p>
      <w:pPr>
        <w:pStyle w:val="Justified"/>
        <w:rPr>
          <w:b/>
          <w:i/>
          <w:i/>
        </w:rPr>
      </w:pPr>
      <w:r>
        <w:rPr>
          <w:b/>
          <w:i/>
        </w:rPr>
        <w:t>"</w:t>
      </w:r>
      <w:r>
        <w:rPr>
          <w:b/>
          <w:i/>
          <w:u w:val="single"/>
        </w:rPr>
        <w:t>Losses</w:t>
      </w:r>
      <w:r>
        <w:rPr>
          <w:b/>
          <w:i/>
        </w:rPr>
        <w:t>"</w:t>
      </w:r>
      <w:r>
        <w:rPr/>
        <w:t xml:space="preserve"> shall have the meaning defined in </w:t>
      </w:r>
      <w:r>
        <w:rPr>
          <w:u w:val="single"/>
        </w:rPr>
        <w:t>Section 4.2(b)(iii)</w:t>
      </w:r>
      <w:r>
        <w:rPr/>
        <w:t>.</w:t>
      </w:r>
    </w:p>
    <w:p>
      <w:pPr>
        <w:pStyle w:val="Justified"/>
        <w:rPr/>
      </w:pPr>
      <w:r>
        <w:rPr>
          <w:b/>
          <w:i/>
        </w:rPr>
        <w:t>"</w:t>
      </w:r>
      <w:r>
        <w:rPr>
          <w:b/>
          <w:i/>
          <w:u w:val="single"/>
        </w:rPr>
        <w:t>Material Adverse Change</w:t>
      </w:r>
      <w:r>
        <w:rPr>
          <w:b/>
          <w:i/>
        </w:rPr>
        <w:t>"</w:t>
      </w:r>
      <w:r>
        <w:rPr/>
        <w:t xml:space="preserve"> </w:t>
      </w:r>
      <w:r>
        <w:rPr>
          <w:b/>
        </w:rPr>
        <w:t>SEE RIDER MAC</w:t>
      </w:r>
    </w:p>
    <w:p>
      <w:pPr>
        <w:pStyle w:val="Justified"/>
        <w:rPr/>
      </w:pPr>
      <w:r>
        <w:rPr>
          <w:b/>
          <w:i/>
        </w:rPr>
        <w:t>"</w:t>
      </w:r>
      <w:r>
        <w:rPr>
          <w:b/>
          <w:i/>
          <w:u w:val="single"/>
        </w:rPr>
        <w:t>Merchantable Energy</w:t>
      </w:r>
      <w:r>
        <w:rPr>
          <w:b/>
          <w:i/>
        </w:rPr>
        <w:t>"</w:t>
      </w:r>
      <w:r>
        <w:rPr/>
        <w:t xml:space="preserve"> means electric energy of the character commonly known as three-phase, sixty-hertz electric energy that is delivered at the nominal voltage of the Delivery Point.</w:t>
      </w:r>
    </w:p>
    <w:p>
      <w:pPr>
        <w:pStyle w:val="Justified"/>
        <w:rPr/>
      </w:pPr>
      <w:r>
        <w:rPr>
          <w:b/>
          <w:i/>
        </w:rPr>
        <w:t>"</w:t>
      </w:r>
      <w:r>
        <w:rPr>
          <w:b/>
          <w:i/>
          <w:u w:val="single"/>
        </w:rPr>
        <w:t>Non-Firm</w:t>
      </w:r>
      <w:r>
        <w:rPr>
          <w:b/>
          <w:i/>
        </w:rPr>
        <w:t>"</w:t>
      </w:r>
      <w:r>
        <w:rPr/>
        <w:t xml:space="preserve"> means, with respect to a Transaction, that delivery or receipt of Energy may be interrupted for any reason, without liability by either Party, including, without limitation, price fluctuations.</w:t>
      </w:r>
    </w:p>
    <w:p>
      <w:pPr>
        <w:pStyle w:val="Justified"/>
        <w:rPr/>
      </w:pPr>
      <w:r>
        <w:rPr>
          <w:b/>
          <w:i/>
        </w:rPr>
        <w:t>"</w:t>
      </w:r>
      <w:r>
        <w:rPr>
          <w:b/>
          <w:i/>
          <w:u w:val="single"/>
        </w:rPr>
        <w:t>Put Option</w:t>
      </w:r>
      <w:r>
        <w:rPr>
          <w:b/>
          <w:i/>
        </w:rPr>
        <w:t>"</w:t>
      </w:r>
      <w:r>
        <w:rPr/>
        <w:t xml:space="preserve"> means an option entitling, but not obligating, the option Buyer to sell and deliver Energy to the option Seller at a price equal to the Strike Price for the Delivery Term(s) for which the option may be exercised, all as agreed to by the Parties in a Transaction.</w:t>
      </w:r>
    </w:p>
    <w:p>
      <w:pPr>
        <w:pStyle w:val="Justified"/>
        <w:rPr/>
      </w:pPr>
      <w:r>
        <w:rPr>
          <w:b/>
          <w:i/>
        </w:rPr>
        <w:t>"</w:t>
      </w:r>
      <w:r>
        <w:rPr>
          <w:b/>
          <w:i/>
          <w:u w:val="single"/>
        </w:rPr>
        <w:t>Regulatory Approvals</w:t>
      </w:r>
      <w:r>
        <w:rPr>
          <w:b/>
          <w:i/>
        </w:rPr>
        <w:t>"</w:t>
      </w:r>
      <w:r>
        <w:rPr/>
        <w:t xml:space="preserve"> means all current and future valid and applicable Laws, orders, statutes, and regulations of courts or regulatory bodies (state or federal) having jurisdiction over a Party or any Transaction.</w:t>
      </w:r>
    </w:p>
    <w:p>
      <w:pPr>
        <w:pStyle w:val="Justified"/>
        <w:rPr/>
      </w:pPr>
      <w:r>
        <w:rPr>
          <w:b/>
          <w:i/>
        </w:rPr>
        <w:t>"</w:t>
      </w:r>
      <w:r>
        <w:rPr>
          <w:b/>
          <w:i/>
          <w:u w:val="single"/>
        </w:rPr>
        <w:t>Replacement Price</w:t>
      </w:r>
      <w:r>
        <w:rPr>
          <w:b/>
          <w:i/>
        </w:rPr>
        <w:t>"</w:t>
      </w:r>
      <w:r>
        <w:rPr/>
        <w:t xml:space="preserve"> shall have the meaning defined in </w:t>
      </w:r>
      <w:r>
        <w:rPr>
          <w:u w:val="single"/>
        </w:rPr>
        <w:t>Section 3.5(a)</w:t>
      </w:r>
      <w:r>
        <w:rPr/>
        <w:t>.</w:t>
      </w:r>
    </w:p>
    <w:p>
      <w:pPr>
        <w:pStyle w:val="Justified"/>
        <w:rPr/>
      </w:pPr>
      <w:r>
        <w:rPr>
          <w:b/>
          <w:i/>
        </w:rPr>
        <w:t>"</w:t>
      </w:r>
      <w:r>
        <w:rPr>
          <w:b/>
          <w:i/>
          <w:u w:val="single"/>
        </w:rPr>
        <w:t>Sales Price</w:t>
      </w:r>
      <w:r>
        <w:rPr>
          <w:b/>
          <w:i/>
        </w:rPr>
        <w:t>"</w:t>
      </w:r>
      <w:r>
        <w:rPr/>
        <w:t xml:space="preserve"> shall have the meaning defined in </w:t>
      </w:r>
      <w:r>
        <w:rPr>
          <w:u w:val="single"/>
        </w:rPr>
        <w:t>Section 3.5(b)</w:t>
      </w:r>
      <w:r>
        <w:rPr/>
        <w:t>.</w:t>
      </w:r>
    </w:p>
    <w:p>
      <w:pPr>
        <w:pStyle w:val="Justified"/>
        <w:rPr/>
      </w:pPr>
      <w:r>
        <w:rPr>
          <w:b/>
          <w:i/>
        </w:rPr>
        <w:t>"</w:t>
      </w:r>
      <w:r>
        <w:rPr>
          <w:b/>
          <w:i/>
          <w:u w:val="single"/>
        </w:rPr>
        <w:t>Scheduling</w:t>
      </w:r>
      <w:r>
        <w:rPr>
          <w:b/>
          <w:i/>
        </w:rPr>
        <w:t>"</w:t>
      </w:r>
      <w:r>
        <w:rPr/>
        <w:t xml:space="preserve"> or </w:t>
      </w:r>
      <w:r>
        <w:rPr>
          <w:b/>
          <w:i/>
        </w:rPr>
        <w:t>"</w:t>
      </w:r>
      <w:r>
        <w:rPr>
          <w:b/>
          <w:i/>
          <w:u w:val="single"/>
        </w:rPr>
        <w:t>Schedule</w:t>
      </w:r>
      <w:r>
        <w:rPr>
          <w:b/>
          <w:i/>
        </w:rPr>
        <w:t>"</w:t>
      </w:r>
      <w:r>
        <w:rPr/>
        <w:t xml:space="preserve"> means the acts of Seller, Buyer and/or their designated representatives, including each Party’s Transmission Providers, if applicable, of notifying, requesting and confirming to each other the quantity and type of Energy to be delivered hourly on any given day or days during the Delivery Term at a specified Delivery Point.</w:t>
      </w:r>
    </w:p>
    <w:p>
      <w:pPr>
        <w:pStyle w:val="Justified"/>
        <w:rPr/>
      </w:pPr>
      <w:r>
        <w:rPr>
          <w:b/>
          <w:i/>
        </w:rPr>
        <w:t>"</w:t>
      </w:r>
      <w:r>
        <w:rPr>
          <w:b/>
          <w:i/>
          <w:u w:val="single"/>
        </w:rPr>
        <w:t>Seller</w:t>
      </w:r>
      <w:r>
        <w:rPr>
          <w:b/>
          <w:i/>
        </w:rPr>
        <w:t>"</w:t>
      </w:r>
      <w:r>
        <w:rPr/>
        <w:t xml:space="preserve"> means the Party to a Transaction who is obligated to sell and deliver or cause to be delivered Energy during a Delivery Term.</w:t>
      </w:r>
    </w:p>
    <w:p>
      <w:pPr>
        <w:pStyle w:val="Justified"/>
        <w:rPr/>
      </w:pPr>
      <w:r>
        <w:rPr>
          <w:b/>
          <w:i/>
        </w:rPr>
        <w:t>"</w:t>
      </w:r>
      <w:r>
        <w:rPr>
          <w:b/>
          <w:i/>
          <w:u w:val="single"/>
        </w:rPr>
        <w:t>Stranded Costs</w:t>
      </w:r>
      <w:r>
        <w:rPr>
          <w:b/>
          <w:i/>
        </w:rPr>
        <w:t>"</w:t>
      </w:r>
      <w:r>
        <w:rPr/>
        <w:t xml:space="preserve"> means any charges or costs that are assessed or levied by any entity, including local, state or federal regulatory or taxing authorities or any Transmission Providers, in order to recoup the expenses and liabilities associated with stranded investments and that would affect an ongoing Transaction, either directly or indirectly; provided, however, such charges or costs must be uniformly applied in a non-discriminatory manner and applicable to all similarly situated parties.</w:t>
      </w:r>
    </w:p>
    <w:p>
      <w:pPr>
        <w:pStyle w:val="Justified"/>
        <w:rPr/>
      </w:pPr>
      <w:r>
        <w:rPr>
          <w:b/>
          <w:i/>
        </w:rPr>
        <w:t>"</w:t>
      </w:r>
      <w:r>
        <w:rPr>
          <w:b/>
          <w:i/>
          <w:u w:val="single"/>
        </w:rPr>
        <w:t>Taxes</w:t>
      </w:r>
      <w:r>
        <w:rPr>
          <w:b/>
          <w:i/>
        </w:rPr>
        <w:t>"</w:t>
      </w:r>
      <w:r>
        <w:rPr/>
        <w:t xml:space="preserve"> means any or all ad valorem, property, occupation, severance, generation, first use, conservation, Btu or energy, transmission, utility, gross receipts, privilege, sales, use, consumption, excise, lease, transaction, and other taxes or, governmental charges, licenses, fees, permits and assessments, or increases therein, other than taxes based on net income or net worth.</w:t>
      </w:r>
    </w:p>
    <w:p>
      <w:pPr>
        <w:pStyle w:val="Justified"/>
        <w:rPr/>
      </w:pPr>
      <w:r>
        <w:rPr>
          <w:b/>
          <w:i/>
        </w:rPr>
        <w:t>"</w:t>
      </w:r>
      <w:r>
        <w:rPr>
          <w:b/>
          <w:i/>
          <w:u w:val="single"/>
        </w:rPr>
        <w:t>Transaction</w:t>
      </w:r>
      <w:r>
        <w:rPr>
          <w:b/>
          <w:i/>
        </w:rPr>
        <w:t>"</w:t>
      </w:r>
      <w:r>
        <w:rPr/>
        <w:t xml:space="preserve"> means a particular transaction agreed to by the Parties relating to the purchase and sale of Energy pursuant to this Master Agreement.</w:t>
      </w:r>
    </w:p>
    <w:p>
      <w:pPr>
        <w:pStyle w:val="Justified"/>
        <w:rPr/>
      </w:pPr>
      <w:r>
        <w:rPr>
          <w:b/>
          <w:i/>
        </w:rPr>
        <w:t>"</w:t>
      </w:r>
      <w:r>
        <w:rPr>
          <w:b/>
          <w:i/>
          <w:u w:val="single"/>
        </w:rPr>
        <w:t>Transmission Charges</w:t>
      </w:r>
      <w:r>
        <w:rPr>
          <w:b/>
          <w:i/>
        </w:rPr>
        <w:t>"</w:t>
      </w:r>
      <w:r>
        <w:rPr/>
        <w:t xml:space="preserve"> means the amount, if any, to be paid by Buyer to Seller for transmission services as agreed to by the Parties in a Transaction.</w:t>
      </w:r>
    </w:p>
    <w:p>
      <w:pPr>
        <w:pStyle w:val="Justified"/>
        <w:spacing w:before="0" w:after="120"/>
        <w:rPr/>
      </w:pPr>
      <w:r>
        <w:rPr>
          <w:b/>
          <w:i/>
        </w:rPr>
        <w:t>"</w:t>
      </w:r>
      <w:r>
        <w:rPr>
          <w:b/>
          <w:i/>
          <w:u w:val="single"/>
        </w:rPr>
        <w:t>Transmission Providers</w:t>
      </w:r>
      <w:r>
        <w:rPr>
          <w:b/>
          <w:i/>
        </w:rPr>
        <w:t>"</w:t>
      </w:r>
      <w:r>
        <w:rPr/>
        <w:t xml:space="preserve"> means the entity or entities transmitting Energy on behalf of Seller or Buyer </w:t>
      </w:r>
      <w:r>
        <w:rPr>
          <w:b/>
        </w:rPr>
        <w:t>[</w:t>
      </w:r>
      <w:r>
        <w:rPr/>
        <w:t>(but not including Buyer or Seller)</w:t>
      </w:r>
      <w:r>
        <w:rPr>
          <w:b/>
        </w:rPr>
        <w:t>]</w:t>
      </w:r>
      <w:r>
        <w:rPr/>
        <w:t xml:space="preserve"> to or from the Delivery Point in a particular Transaction.</w:t>
      </w:r>
    </w:p>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Enron_Comments_on_PPA_Form_043099.doc</w:t>
    </w:r>
    <w:r>
      <w:rPr>
        <w:sz w:val="16"/>
        <w:lang w:eastAsia="en-US"/>
      </w:rPr>
      <w:fldChar w:fldCharType="end"/>
    </w:r>
    <w:r>
      <w:rPr>
        <w:sz w:val="16"/>
      </w:rPr>
      <w:tab/>
      <w:tab/>
    </w:r>
    <w:r>
      <w:rPr>
        <w:sz w:val="16"/>
        <w:lang w:eastAsia="en-US"/>
      </w:rPr>
      <w:tab/>
    </w:r>
    <w:r>
      <mc:AlternateContent>
        <mc:Choice Requires="wps">
          <w:drawing>
            <wp:anchor behindDoc="0" distT="0" distB="0" distL="0" distR="0" simplePos="0" locked="0" layoutInCell="0" allowOverlap="1" relativeHeight="25">
              <wp:simplePos x="0" y="0"/>
              <wp:positionH relativeFrom="page">
                <wp:posOffset>6767195</wp:posOffset>
              </wp:positionH>
              <wp:positionV relativeFrom="paragraph">
                <wp:posOffset>-38100</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Fonts w:ascii="Times New Roman" w:hAnsi="Times New Roman" w:cs="Times New Roman"/>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24</w:t>
                          </w:r>
                          <w:r>
                            <w:rPr>
                              <w:rStyle w:val="PageNumber"/>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3pt;mso-position-vertical-relative:text;margin-left:532.85pt;mso-position-horizontal-relative:page">
              <v:fill opacity="0f"/>
              <v:textbox inset="0in,0in,0in,0in">
                <w:txbxContent>
                  <w:p>
                    <w:pPr>
                      <w:pStyle w:val="Footer"/>
                      <w:rPr>
                        <w:rStyle w:val="PageNumber"/>
                        <w:rFonts w:ascii="Times New Roman" w:hAnsi="Times New Roman" w:cs="Times New Roman"/>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24</w:t>
                    </w:r>
                    <w:r>
                      <w:rPr>
                        <w:rStyle w:val="PageNumber"/>
                        <w:rFonts w:cs="Times New Roman" w:ascii="Times New Roman" w:hAnsi="Times New Roman"/>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tab/>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rPr/>
    </w:lvl>
  </w:abstractNum>
  <w:abstractNum w:abstractNumId="3">
    <w:lvl w:ilvl="0">
      <w:start w:val="1"/>
      <w:numFmt w:val="lowerLetter"/>
      <w:lvlText w:val="(%1)"/>
      <w:lvlJc w:val="start"/>
      <w:pPr>
        <w:tabs>
          <w:tab w:val="num" w:pos="360"/>
        </w:tabs>
        <w:ind w:start="360" w:hanging="360"/>
      </w:pPr>
      <w:rPr/>
    </w:lvl>
  </w:abstractNum>
  <w:abstractNum w:abstractNumId="4">
    <w:lvl w:ilvl="0">
      <w:start w:val="1"/>
      <w:numFmt w:val="lowerLetter"/>
      <w:lvlText w:val="(%1)"/>
      <w:lvlJc w:val="start"/>
      <w:pPr>
        <w:tabs>
          <w:tab w:val="num" w:pos="360"/>
        </w:tabs>
        <w:ind w:start="360" w:hanging="360"/>
      </w:pPr>
      <w:rPr/>
    </w:lvl>
  </w:abstractNum>
  <w:abstractNum w:abstractNumId="5">
    <w:lvl w:ilvl="0">
      <w:start w:val="1"/>
      <w:numFmt w:val="lowerLetter"/>
      <w:lvlText w:val="(%1)"/>
      <w:lvlJc w:val="start"/>
      <w:pPr>
        <w:tabs>
          <w:tab w:val="num" w:pos="360"/>
        </w:tabs>
        <w:ind w:start="360" w:hanging="360"/>
      </w:pPr>
      <w:rPr/>
    </w:lvl>
  </w:abstractNum>
  <w:abstractNum w:abstractNumId="6">
    <w:lvl w:ilvl="0">
      <w:start w:val="1"/>
      <w:numFmt w:val="lowerLetter"/>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BodyText"/>
    <w:qFormat/>
    <w:pPr>
      <w:numPr>
        <w:ilvl w:val="1"/>
        <w:numId w:val="1"/>
      </w:numPr>
      <w:spacing w:before="0" w:after="120"/>
      <w:jc w:val="both"/>
      <w:outlineLvl w:val="1"/>
    </w:pPr>
    <w:rPr>
      <w:sz w:val="22"/>
    </w:rPr>
  </w:style>
  <w:style w:type="paragraph" w:styleId="Heading6">
    <w:name w:val="heading 6"/>
    <w:basedOn w:val="Normal"/>
    <w:next w:val="BodyText"/>
    <w:qFormat/>
    <w:pPr>
      <w:numPr>
        <w:ilvl w:val="5"/>
        <w:numId w:val="1"/>
      </w:numPr>
      <w:spacing w:before="0" w:after="120"/>
      <w:ind w:hanging="0" w:start="720" w:end="0"/>
      <w:jc w:val="both"/>
      <w:outlineLvl w:val="5"/>
    </w:pPr>
    <w:rPr>
      <w:sz w:val="22"/>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rFonts w:ascii="Arial" w:hAnsi="Arial" w:cs="Arial"/>
      <w:b w:val="false"/>
      <w:i w:val="false"/>
      <w:sz w:val="20"/>
      <w:u w:val="none"/>
    </w:rPr>
  </w:style>
  <w:style w:type="character" w:styleId="WW8Num4z0">
    <w:name w:val="WW8Num4z0"/>
    <w:qFormat/>
    <w:rPr>
      <w:rFonts w:ascii="Arial" w:hAnsi="Arial" w:cs="Arial"/>
      <w:b w:val="false"/>
      <w:i w:val="false"/>
      <w:sz w:val="20"/>
      <w:u w:val="none"/>
    </w:rPr>
  </w:style>
  <w:style w:type="character" w:styleId="WW8Num5z0">
    <w:name w:val="WW8Num5z0"/>
    <w:qFormat/>
    <w:rPr>
      <w:rFonts w:ascii="Arial" w:hAnsi="Arial" w:cs="Arial"/>
      <w:b w:val="false"/>
      <w:i w:val="false"/>
      <w:sz w:val="20"/>
      <w:u w:val="none"/>
    </w:rPr>
  </w:style>
  <w:style w:type="character" w:styleId="WW8Num6z0">
    <w:name w:val="WW8Num6z0"/>
    <w:qFormat/>
    <w:rPr>
      <w:rFonts w:ascii="Arial" w:hAnsi="Arial" w:cs="Arial"/>
      <w:b w:val="false"/>
      <w:i w:val="false"/>
      <w:sz w:val="20"/>
      <w:u w:val="none"/>
    </w:rPr>
  </w:style>
  <w:style w:type="character" w:styleId="WW8Num7z0">
    <w:name w:val="WW8Num7z0"/>
    <w:qFormat/>
    <w:rPr>
      <w:rFonts w:ascii="Arial" w:hAnsi="Arial" w:cs="Arial"/>
      <w:b w:val="false"/>
      <w:i w:val="false"/>
      <w:sz w:val="20"/>
      <w:u w:val="none"/>
    </w:rPr>
  </w:style>
  <w:style w:type="character" w:styleId="WW8Num8z0">
    <w:name w:val="WW8Num8z0"/>
    <w:qFormat/>
    <w:rPr/>
  </w:style>
  <w:style w:type="character" w:styleId="WW8Num9z0">
    <w:name w:val="WW8Num9z0"/>
    <w:qFormat/>
    <w:rPr>
      <w:rFonts w:ascii="Arial" w:hAnsi="Arial" w:cs="Arial"/>
      <w:b w:val="false"/>
      <w:i w:val="false"/>
      <w:sz w:val="20"/>
      <w:u w:val="none"/>
    </w:rPr>
  </w:style>
  <w:style w:type="character" w:styleId="WW8Num10z0">
    <w:name w:val="WW8Num10z0"/>
    <w:qFormat/>
    <w:rPr>
      <w:rFonts w:ascii="Arial" w:hAnsi="Arial" w:cs="Arial"/>
      <w:b w:val="false"/>
      <w:i w:val="false"/>
      <w:sz w:val="20"/>
      <w:u w:val="none"/>
    </w:rPr>
  </w:style>
  <w:style w:type="character" w:styleId="WW8Num11z0">
    <w:name w:val="WW8Num11z0"/>
    <w:qFormat/>
    <w:rPr/>
  </w:style>
  <w:style w:type="character" w:styleId="WW8Num12z0">
    <w:name w:val="WW8Num12z0"/>
    <w:qFormat/>
    <w:rPr/>
  </w:style>
  <w:style w:type="character" w:styleId="WW8Num13z0">
    <w:name w:val="WW8Num13z0"/>
    <w:qFormat/>
    <w:rPr>
      <w:rFonts w:ascii="Arial" w:hAnsi="Arial" w:cs="Arial"/>
      <w:b w:val="false"/>
      <w:i w:val="false"/>
      <w:sz w:val="20"/>
      <w:u w:val="none"/>
    </w:rPr>
  </w:style>
  <w:style w:type="character" w:styleId="WW8Num15z0">
    <w:name w:val="WW8Num15z0"/>
    <w:qFormat/>
    <w:rPr>
      <w:rFonts w:ascii="Arial" w:hAnsi="Arial" w:cs="Arial"/>
      <w:b w:val="false"/>
      <w:i w:val="false"/>
      <w:sz w:val="20"/>
      <w:u w:val="none"/>
    </w:rPr>
  </w:style>
  <w:style w:type="character" w:styleId="WW8Num16z0">
    <w:name w:val="WW8Num16z0"/>
    <w:qFormat/>
    <w:rPr>
      <w:rFonts w:ascii="Arial" w:hAnsi="Arial" w:cs="Arial"/>
      <w:b w:val="false"/>
      <w:i w:val="false"/>
      <w:sz w:val="20"/>
      <w:u w:val="none"/>
    </w:rPr>
  </w:style>
  <w:style w:type="character" w:styleId="WW8Num17z0">
    <w:name w:val="WW8Num17z0"/>
    <w:qFormat/>
    <w:rPr>
      <w:rFonts w:ascii="Times New Roman" w:hAnsi="Times New Roman" w:cs="Times New Roman"/>
      <w:b w:val="false"/>
      <w:i w:val="false"/>
      <w:sz w:val="24"/>
      <w:u w:val="none"/>
    </w:rPr>
  </w:style>
  <w:style w:type="character" w:styleId="WW8Num19z0">
    <w:name w:val="WW8Num19z0"/>
    <w:qFormat/>
    <w:rPr>
      <w:rFonts w:ascii="Arial" w:hAnsi="Arial" w:cs="Arial"/>
      <w:b w:val="false"/>
      <w:i w:val="false"/>
      <w:sz w:val="20"/>
      <w:u w:val="none"/>
    </w:rPr>
  </w:style>
  <w:style w:type="character" w:styleId="WW8Num20z0">
    <w:name w:val="WW8Num20z0"/>
    <w:qFormat/>
    <w:rPr>
      <w:rFonts w:ascii="Times New Roman" w:hAnsi="Times New Roman" w:cs="Times New Roman"/>
      <w:b w:val="false"/>
      <w:i w:val="false"/>
      <w:sz w:val="24"/>
      <w:u w:val="none"/>
    </w:rPr>
  </w:style>
  <w:style w:type="character" w:styleId="WW8Num21z0">
    <w:name w:val="WW8Num21z0"/>
    <w:qFormat/>
    <w:rPr>
      <w:rFonts w:ascii="Arial" w:hAnsi="Arial" w:cs="Arial"/>
      <w:b w:val="false"/>
      <w:i w:val="false"/>
      <w:sz w:val="20"/>
      <w:u w:val="none"/>
    </w:rPr>
  </w:style>
  <w:style w:type="character" w:styleId="WW8Num22z0">
    <w:name w:val="WW8Num22z0"/>
    <w:qFormat/>
    <w:rPr>
      <w:rFonts w:ascii="Arial" w:hAnsi="Arial" w:cs="Arial"/>
      <w:b w:val="false"/>
      <w:i w:val="false"/>
      <w:sz w:val="20"/>
      <w:u w:val="none"/>
    </w:rPr>
  </w:style>
  <w:style w:type="character" w:styleId="WW8Num23z0">
    <w:name w:val="WW8Num23z0"/>
    <w:qFormat/>
    <w:rPr>
      <w:rFonts w:ascii="Arial" w:hAnsi="Arial" w:cs="Arial"/>
      <w:b w:val="false"/>
      <w:i w:val="false"/>
      <w:sz w:val="20"/>
      <w:u w:val="none"/>
    </w:rPr>
  </w:style>
  <w:style w:type="character" w:styleId="WW8Num24z0">
    <w:name w:val="WW8Num24z0"/>
    <w:qFormat/>
    <w:rPr/>
  </w:style>
  <w:style w:type="character" w:styleId="WW8Num25z0">
    <w:name w:val="WW8Num25z0"/>
    <w:qFormat/>
    <w:rPr>
      <w:rFonts w:ascii="Arial" w:hAnsi="Arial" w:cs="Arial"/>
      <w:b w:val="false"/>
      <w:i w:val="false"/>
      <w:sz w:val="20"/>
      <w:u w:val="none"/>
    </w:rPr>
  </w:style>
  <w:style w:type="character" w:styleId="WW8Num26z0">
    <w:name w:val="WW8Num26z0"/>
    <w:qFormat/>
    <w:rPr>
      <w:rFonts w:ascii="Arial" w:hAnsi="Arial" w:cs="Arial"/>
      <w:b w:val="false"/>
      <w:i w:val="false"/>
      <w:sz w:val="20"/>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Arial" w:hAnsi="Arial" w:cs="Arial"/>
    </w:rPr>
  </w:style>
  <w:style w:type="paragraph" w:styleId="Header">
    <w:name w:val="header"/>
    <w:basedOn w:val="Normal"/>
    <w:pPr>
      <w:tabs>
        <w:tab w:val="clear" w:pos="720"/>
        <w:tab w:val="center" w:pos="4320" w:leader="none"/>
        <w:tab w:val="right" w:pos="8640" w:leader="none"/>
        <w:tab w:val="right" w:pos="9360" w:leader="none"/>
      </w:tabs>
    </w:pPr>
    <w:rPr>
      <w:rFonts w:ascii="Arial" w:hAnsi="Arial" w:cs="Arial"/>
    </w:rPr>
  </w:style>
  <w:style w:type="paragraph" w:styleId="Department">
    <w:name w:val="Department"/>
    <w:basedOn w:val="Normal"/>
    <w:qFormat/>
    <w:pPr/>
    <w:rPr>
      <w:rFonts w:ascii="Arial" w:hAnsi="Arial" w:cs="Arial"/>
      <w:sz w:val="20"/>
    </w:rPr>
  </w:style>
  <w:style w:type="paragraph" w:styleId="DocumentMap">
    <w:name w:val="Document Map"/>
    <w:basedOn w:val="Normal"/>
    <w:qFormat/>
    <w:pPr>
      <w:shd w:fill="000080" w:val="clear"/>
    </w:pPr>
    <w:rPr>
      <w:rFonts w:ascii="Tahoma" w:hAnsi="Tahoma" w:cs="Tahoma"/>
    </w:rPr>
  </w:style>
  <w:style w:type="paragraph" w:styleId="Expanded">
    <w:name w:val="Expanded"/>
    <w:basedOn w:val="Normal"/>
    <w:next w:val="Normal"/>
    <w:qFormat/>
    <w:pPr>
      <w:spacing w:before="0" w:after="240"/>
      <w:jc w:val="center"/>
    </w:pPr>
    <w:rPr>
      <w:b/>
      <w:caps/>
      <w:spacing w:val="60"/>
      <w:sz w:val="22"/>
    </w:rPr>
  </w:style>
  <w:style w:type="paragraph" w:styleId="Justified">
    <w:name w:val="Justified"/>
    <w:basedOn w:val="Normal"/>
    <w:next w:val="Heading2"/>
    <w:qFormat/>
    <w:pPr>
      <w:spacing w:before="0" w:after="120"/>
      <w:jc w:val="both"/>
    </w:pPr>
    <w:rPr>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1999-05-04T22:38:00Z</dcterms:created>
  <dc:creator>rhemsto</dc:creator>
  <dc:description/>
  <dc:language>en-CA</dc:language>
  <cp:lastModifiedBy>ECT</cp:lastModifiedBy>
  <cp:lastPrinted>1999-05-04T18:59:00Z</cp:lastPrinted>
  <dcterms:modified xsi:type="dcterms:W3CDTF">1999-05-04T22:38:00Z</dcterms:modified>
  <cp:revision>2</cp:revision>
  <dc:subject/>
  <dc:title> </dc:title>
</cp:coreProperties>
</file>