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6"/>
      </w:tblGrid>
      <w:tr>
        <w:trPr/>
        <w:tc>
          <w:tcPr>
            <w:tcW w:w="95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TMLPreformatted"/>
              <w:jc w:val="center"/>
              <w:rPr/>
            </w:pPr>
            <w:r>
              <w:rPr>
                <w:rStyle w:val="Strong"/>
              </w:rPr>
              <w:t>ENRON MEMORANDUM CODE CITATIONS (8/23/00)</w:t>
            </w:r>
          </w:p>
        </w:tc>
      </w:tr>
    </w:tbl>
    <w:p>
      <w:pPr>
        <w:pStyle w:val="HTMLPreformatted"/>
        <w:rPr>
          <w:rStyle w:val="Strong"/>
          <w:u w:val="single"/>
        </w:rPr>
      </w:pPr>
      <w:r>
        <w:rPr/>
      </w:r>
    </w:p>
    <w:p>
      <w:pPr>
        <w:pStyle w:val="HTMLPreformatted"/>
        <w:rPr>
          <w:rStyle w:val="Strong"/>
          <w:u w:val="single"/>
        </w:rPr>
      </w:pPr>
      <w:r>
        <w:rPr>
          <w:u w:val="single"/>
        </w:rPr>
        <w:t>CALIFORNIA PUBLIC UTILITIES CODE</w:t>
      </w:r>
    </w:p>
    <w:p>
      <w:pPr>
        <w:pStyle w:val="HTMLPreformatted"/>
        <w:rPr>
          <w:rStyle w:val="Strong"/>
        </w:rPr>
      </w:pPr>
      <w:r>
        <w:rPr/>
      </w:r>
    </w:p>
    <w:p>
      <w:pPr>
        <w:pStyle w:val="HTMLPreformatted"/>
        <w:rPr/>
      </w:pPr>
      <w:r>
        <w:rPr>
          <w:rStyle w:val="Strong"/>
        </w:rPr>
        <w:t>§</w:t>
      </w:r>
      <w:r>
        <w:rPr>
          <w:rStyle w:val="Strong"/>
        </w:rPr>
        <w:t>617.</w:t>
      </w:r>
      <w:r>
        <w:rPr/>
        <w:t>A telegraph corporation may condemn any property necessary for</w:t>
      </w:r>
    </w:p>
    <w:p>
      <w:pPr>
        <w:pStyle w:val="HTMLPreformatted"/>
        <w:rPr/>
      </w:pPr>
      <w:r>
        <w:rPr/>
        <w:t>the construction and maintenance of its telegraph line.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§</w:t>
      </w:r>
      <w:r>
        <w:rPr>
          <w:rStyle w:val="Strong"/>
        </w:rPr>
        <w:t xml:space="preserve">625(a)(1) </w:t>
      </w:r>
      <w:r>
        <w:rPr/>
        <w:t>(A). For the purpose of this article, except as</w:t>
      </w:r>
    </w:p>
    <w:p>
      <w:pPr>
        <w:pStyle w:val="HTMLPreformatted"/>
        <w:rPr/>
      </w:pPr>
      <w:r>
        <w:rPr/>
        <w:t>specified in paragraph (4), a public utility that offers competitive</w:t>
      </w:r>
    </w:p>
    <w:p>
      <w:pPr>
        <w:pStyle w:val="HTMLPreformatted"/>
        <w:rPr/>
      </w:pPr>
      <w:r>
        <w:rPr/>
        <w:t>services may not condemn any property for the purpose of competing</w:t>
      </w:r>
    </w:p>
    <w:p>
      <w:pPr>
        <w:pStyle w:val="HTMLPreformatted"/>
        <w:rPr/>
      </w:pPr>
      <w:r>
        <w:rPr/>
        <w:t>with another entity in the offering of those competitive services,</w:t>
      </w:r>
    </w:p>
    <w:p>
      <w:pPr>
        <w:pStyle w:val="HTMLPreformatted"/>
        <w:rPr/>
      </w:pPr>
      <w:r>
        <w:rPr/>
        <w:t>unless the commission finds that such an action would serve the</w:t>
      </w:r>
    </w:p>
    <w:p>
      <w:pPr>
        <w:pStyle w:val="HTMLPreformatted"/>
        <w:rPr/>
      </w:pPr>
      <w:r>
        <w:rPr/>
        <w:t>public interest, pursuant to a petition or complaint filed by the</w:t>
      </w:r>
    </w:p>
    <w:p>
      <w:pPr>
        <w:pStyle w:val="HTMLPreformatted"/>
        <w:rPr/>
      </w:pPr>
      <w:r>
        <w:rPr/>
        <w:t>public utility, personal notice of which has been served on the</w:t>
      </w:r>
    </w:p>
    <w:p>
      <w:pPr>
        <w:pStyle w:val="HTMLPreformatted"/>
        <w:rPr/>
      </w:pPr>
      <w:r>
        <w:rPr/>
        <w:t>owners of the property to be condemned, and an adjudication hearing</w:t>
      </w:r>
    </w:p>
    <w:p>
      <w:pPr>
        <w:pStyle w:val="HTMLPreformatted"/>
        <w:rPr/>
      </w:pPr>
      <w:r>
        <w:rPr/>
        <w:t>in accordance with Chapter 9 (commencing with Section 1701),</w:t>
      </w:r>
    </w:p>
    <w:p>
      <w:pPr>
        <w:pStyle w:val="HTMLPreformatted"/>
        <w:rPr/>
      </w:pPr>
      <w:r>
        <w:rPr/>
        <w:t xml:space="preserve">including an opportunity for the public to participate. </w:t>
      </w:r>
    </w:p>
    <w:p>
      <w:pPr>
        <w:pStyle w:val="HTMLPreformatted"/>
        <w:rPr/>
      </w:pPr>
      <w:r>
        <w:rPr/>
        <w:t>(B) The requirements of this section do not apply to the</w:t>
      </w:r>
    </w:p>
    <w:p>
      <w:pPr>
        <w:pStyle w:val="HTMLPreformatted"/>
        <w:rPr/>
      </w:pPr>
      <w:r>
        <w:rPr/>
        <w:t>condemnation of any property that is necessary solely for an</w:t>
      </w:r>
    </w:p>
    <w:p>
      <w:pPr>
        <w:pStyle w:val="HTMLPreformatted"/>
        <w:rPr/>
      </w:pPr>
      <w:r>
        <w:rPr/>
        <w:t>electrical company or gas corporation to meet its commission-ordered</w:t>
      </w:r>
    </w:p>
    <w:p>
      <w:pPr>
        <w:pStyle w:val="HTMLPreformatted"/>
        <w:rPr/>
      </w:pPr>
      <w:r>
        <w:rPr/>
        <w:t>obligation to serve.  Proposed exercises of eminent domain by</w:t>
      </w:r>
    </w:p>
    <w:p>
      <w:pPr>
        <w:pStyle w:val="HTMLPreformatted"/>
        <w:rPr/>
      </w:pPr>
      <w:r>
        <w:rPr/>
        <w:t>electrical or gas corporations that initially, or subsequently,</w:t>
      </w:r>
    </w:p>
    <w:p>
      <w:pPr>
        <w:pStyle w:val="HTMLPreformatted"/>
        <w:rPr/>
      </w:pPr>
      <w:r>
        <w:rPr/>
        <w:t>acquire property for either commission-ordered electrical corporation</w:t>
      </w:r>
    </w:p>
    <w:p>
      <w:pPr>
        <w:pStyle w:val="HTMLPreformatted"/>
        <w:rPr/>
      </w:pPr>
      <w:r>
        <w:rPr/>
        <w:t>obligation to serve and competitive telecommunications services or</w:t>
      </w:r>
    </w:p>
    <w:p>
      <w:pPr>
        <w:pStyle w:val="HTMLPreformatted"/>
        <w:rPr/>
      </w:pPr>
      <w:r>
        <w:rPr/>
        <w:t>gas corporation obligation to serve and telecommunications services</w:t>
      </w:r>
    </w:p>
    <w:p>
      <w:pPr>
        <w:pStyle w:val="HTMLPreformatted"/>
        <w:rPr/>
      </w:pPr>
      <w:r>
        <w:rPr/>
        <w:t>are subject to paragraph (2) of subdivision (b).  For property</w:t>
      </w:r>
    </w:p>
    <w:p>
      <w:pPr>
        <w:pStyle w:val="HTMLPreformatted"/>
        <w:rPr/>
      </w:pPr>
      <w:r>
        <w:rPr/>
        <w:t>acquired through the exercise of eminent domain after January 1,</w:t>
      </w:r>
    </w:p>
    <w:p>
      <w:pPr>
        <w:pStyle w:val="HTMLPreformatted"/>
        <w:rPr/>
      </w:pPr>
      <w:r>
        <w:rPr/>
        <w:t>2000, by an electrical or gas corporation solely to meet its</w:t>
      </w:r>
    </w:p>
    <w:p>
      <w:pPr>
        <w:pStyle w:val="HTMLPreformatted"/>
        <w:rPr/>
      </w:pPr>
      <w:r>
        <w:rPr/>
        <w:t>commission-ordered obligation to serve, any electrical or gas</w:t>
      </w:r>
    </w:p>
    <w:p>
      <w:pPr>
        <w:pStyle w:val="HTMLPreformatted"/>
        <w:rPr/>
      </w:pPr>
      <w:r>
        <w:rPr/>
        <w:t>corporation, or subsidiary or affiliate, that intends to install</w:t>
      </w:r>
    </w:p>
    <w:p>
      <w:pPr>
        <w:pStyle w:val="HTMLPreformatted"/>
        <w:rPr/>
      </w:pPr>
      <w:r>
        <w:rPr/>
        <w:t>telecommunication equipment on the property for the purpose of</w:t>
      </w:r>
    </w:p>
    <w:p>
      <w:pPr>
        <w:pStyle w:val="HTMLPreformatted"/>
        <w:rPr/>
      </w:pPr>
      <w:r>
        <w:rPr/>
        <w:t>providing competitive telecommunications services shall provide</w:t>
      </w:r>
    </w:p>
    <w:p>
      <w:pPr>
        <w:pStyle w:val="HTMLPreformatted"/>
        <w:rPr/>
      </w:pPr>
      <w:r>
        <w:rPr/>
        <w:t>notice for the planned installation in the commission calendar.</w:t>
      </w:r>
    </w:p>
    <w:p>
      <w:pPr>
        <w:pStyle w:val="HTMLPreformatted"/>
        <w:rPr>
          <w:rStyle w:val="Strong"/>
        </w:rPr>
      </w:pPr>
      <w:r>
        <w:rPr/>
      </w:r>
    </w:p>
    <w:p>
      <w:pPr>
        <w:pStyle w:val="HTMLPreformatted"/>
        <w:keepNext w:val="true"/>
        <w:rPr/>
      </w:pPr>
      <w:r>
        <w:rPr>
          <w:rStyle w:val="Strong"/>
        </w:rPr>
        <w:t>§</w:t>
      </w:r>
      <w:r>
        <w:rPr>
          <w:rStyle w:val="Strong"/>
        </w:rPr>
        <w:t>625(b)</w:t>
      </w:r>
      <w:r>
        <w:rPr/>
        <w:t>The commission may make a finding pursuant to subdivision (a)</w:t>
      </w:r>
    </w:p>
    <w:p>
      <w:pPr>
        <w:pStyle w:val="HTMLPreformatted"/>
        <w:keepNext w:val="true"/>
        <w:rPr/>
      </w:pPr>
      <w:r>
        <w:rPr/>
        <w:t>if, in the determination of the commission, either of the following</w:t>
      </w:r>
    </w:p>
    <w:p>
      <w:pPr>
        <w:pStyle w:val="HTMLPreformatted"/>
        <w:keepNext w:val="true"/>
        <w:rPr/>
      </w:pPr>
      <w:r>
        <w:rPr/>
        <w:t>conditions is met:</w:t>
      </w:r>
    </w:p>
    <w:p>
      <w:pPr>
        <w:pStyle w:val="HTMLPreformatted"/>
        <w:keepNext w:val="true"/>
        <w:rPr/>
      </w:pPr>
      <w:r>
        <w:rPr/>
        <w:t xml:space="preserve">   </w:t>
      </w:r>
      <w:r>
        <w:rPr/>
        <w:t>(1) The proposed condemnation is necessary to provide service as a</w:t>
      </w:r>
    </w:p>
    <w:p>
      <w:pPr>
        <w:pStyle w:val="HTMLPreformatted"/>
        <w:rPr/>
      </w:pPr>
      <w:r>
        <w:rPr/>
        <w:t>provider of last resort to an unserved area, except when there are</w:t>
      </w:r>
    </w:p>
    <w:p>
      <w:pPr>
        <w:pStyle w:val="HTMLPreformatted"/>
        <w:rPr>
          <w:rStyle w:val="Strong"/>
        </w:rPr>
      </w:pPr>
      <w:r>
        <w:rPr/>
        <w:t>competing offers from facility-based carriers to serve that area.</w:t>
      </w:r>
    </w:p>
    <w:p>
      <w:pPr>
        <w:pStyle w:val="HTMLPreformatted"/>
        <w:rPr>
          <w:rStyle w:val="Strong"/>
        </w:rPr>
      </w:pPr>
      <w:r>
        <w:rPr/>
      </w:r>
    </w:p>
    <w:p>
      <w:pPr>
        <w:pStyle w:val="HTMLPreformatted"/>
        <w:rPr/>
      </w:pPr>
      <w:r>
        <w:rPr>
          <w:rStyle w:val="Strong"/>
        </w:rPr>
        <w:t>§</w:t>
      </w:r>
      <w:r>
        <w:rPr>
          <w:rStyle w:val="Strong"/>
        </w:rPr>
        <w:t>625(b)</w:t>
      </w:r>
      <w:r>
        <w:rPr>
          <w:b/>
          <w:bCs/>
        </w:rPr>
        <w:t>(2)</w:t>
      </w:r>
      <w:r>
        <w:rPr/>
        <w:t xml:space="preserve"> The public utility is able to show all of the following with</w:t>
      </w:r>
    </w:p>
    <w:p>
      <w:pPr>
        <w:pStyle w:val="HTMLPreformatted"/>
        <w:rPr/>
      </w:pPr>
      <w:r>
        <w:rPr/>
        <w:t>regard to the proposed condemnation:</w:t>
      </w:r>
    </w:p>
    <w:p>
      <w:pPr>
        <w:pStyle w:val="HTMLPreformatted"/>
        <w:rPr/>
      </w:pPr>
      <w:r>
        <w:rPr/>
        <w:t xml:space="preserve">   </w:t>
      </w:r>
      <w:r>
        <w:rPr/>
        <w:t>(A) The public interest and necessity require the proposed</w:t>
      </w:r>
    </w:p>
    <w:p>
      <w:pPr>
        <w:pStyle w:val="HTMLPreformatted"/>
        <w:rPr/>
      </w:pPr>
      <w:r>
        <w:rPr/>
        <w:t>project.</w:t>
      </w:r>
    </w:p>
    <w:p>
      <w:pPr>
        <w:pStyle w:val="HTMLPreformatted"/>
        <w:rPr/>
      </w:pPr>
      <w:r>
        <w:rPr/>
        <w:t xml:space="preserve">   </w:t>
      </w:r>
      <w:r>
        <w:rPr/>
        <w:t>(B) The property to be condemned is necessary for the proposed</w:t>
      </w:r>
    </w:p>
    <w:p>
      <w:pPr>
        <w:pStyle w:val="HTMLPreformatted"/>
        <w:rPr/>
      </w:pPr>
      <w:r>
        <w:rPr/>
        <w:t>project.</w:t>
      </w:r>
    </w:p>
    <w:p>
      <w:pPr>
        <w:pStyle w:val="HTMLPreformatted"/>
        <w:rPr/>
      </w:pPr>
      <w:r>
        <w:rPr/>
        <w:t xml:space="preserve">   </w:t>
      </w:r>
      <w:r>
        <w:rPr/>
        <w:t>(C) The public benefit of acquiring the property by eminent domain</w:t>
      </w:r>
    </w:p>
    <w:p>
      <w:pPr>
        <w:pStyle w:val="HTMLPreformatted"/>
        <w:rPr/>
      </w:pPr>
      <w:r>
        <w:rPr/>
        <w:t>outweighs the hardship to the owners of the property.</w:t>
      </w:r>
    </w:p>
    <w:p>
      <w:pPr>
        <w:pStyle w:val="HTMLPreformatted"/>
        <w:rPr/>
      </w:pPr>
      <w:r>
        <w:rPr/>
        <w:t xml:space="preserve">   </w:t>
      </w:r>
      <w:r>
        <w:rPr/>
        <w:t>(D) The proposed project is located in a manner most compatible</w:t>
      </w:r>
    </w:p>
    <w:p>
      <w:pPr>
        <w:pStyle w:val="HTMLPreformatted"/>
        <w:rPr/>
      </w:pPr>
      <w:r>
        <w:rPr/>
        <w:t>with the greatest public good and least private injury.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§</w:t>
      </w:r>
      <w:r>
        <w:rPr>
          <w:rStyle w:val="Strong"/>
        </w:rPr>
        <w:t>7901</w:t>
      </w:r>
      <w:r>
        <w:rPr/>
        <w:t>.  Telegraph or telephone corporations may construct lines of</w:t>
      </w:r>
    </w:p>
    <w:p>
      <w:pPr>
        <w:pStyle w:val="HTMLPreformatted"/>
        <w:rPr/>
      </w:pPr>
      <w:r>
        <w:rPr/>
        <w:t>telegraph or telephone lines along and upon any public road or</w:t>
      </w:r>
    </w:p>
    <w:p>
      <w:pPr>
        <w:pStyle w:val="HTMLPreformatted"/>
        <w:rPr/>
      </w:pPr>
      <w:r>
        <w:rPr/>
        <w:t>highway, along or across any of the waters or lands within this</w:t>
      </w:r>
    </w:p>
    <w:p>
      <w:pPr>
        <w:pStyle w:val="HTMLPreformatted"/>
        <w:rPr/>
      </w:pPr>
      <w:r>
        <w:rPr/>
        <w:t>State, and may erect poles, posts, piers, or abutments for supporting</w:t>
      </w:r>
    </w:p>
    <w:p>
      <w:pPr>
        <w:pStyle w:val="HTMLPreformatted"/>
        <w:rPr/>
      </w:pPr>
      <w:r>
        <w:rPr/>
        <w:t>the insulators, wires, and other necessary fixtures of their lines,</w:t>
      </w:r>
    </w:p>
    <w:p>
      <w:pPr>
        <w:pStyle w:val="HTMLPreformatted"/>
        <w:rPr/>
      </w:pPr>
      <w:r>
        <w:rPr/>
        <w:t>in such manner and at such points as not to incommode the public use</w:t>
      </w:r>
    </w:p>
    <w:p>
      <w:pPr>
        <w:pStyle w:val="HTMLPreformatted"/>
        <w:rPr/>
      </w:pPr>
      <w:r>
        <w:rPr/>
        <w:t>of the road or highway or interrupt the navigation of the waters.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§</w:t>
      </w:r>
      <w:r>
        <w:rPr>
          <w:rStyle w:val="Strong"/>
        </w:rPr>
        <w:t>7901</w:t>
      </w:r>
      <w:r>
        <w:rPr>
          <w:b/>
          <w:bCs/>
        </w:rPr>
        <w:t>.1</w:t>
      </w:r>
      <w:r>
        <w:rPr/>
        <w:t>.  (a) It is the intent of the Legislature, consistent with</w:t>
      </w:r>
    </w:p>
    <w:p>
      <w:pPr>
        <w:pStyle w:val="HTMLPreformatted"/>
        <w:rPr/>
      </w:pPr>
      <w:r>
        <w:rPr/>
        <w:t xml:space="preserve">Section </w:t>
      </w:r>
      <w:r>
        <w:rPr>
          <w:rStyle w:val="Strong"/>
        </w:rPr>
        <w:t>7901</w:t>
      </w:r>
      <w:r>
        <w:rPr/>
        <w:t>, that municipalities shall have the right to exercise</w:t>
      </w:r>
    </w:p>
    <w:p>
      <w:pPr>
        <w:pStyle w:val="HTMLPreformatted"/>
        <w:rPr/>
      </w:pPr>
      <w:r>
        <w:rPr/>
        <w:t>reasonable control as to the time, place, and manner in which roads,</w:t>
      </w:r>
    </w:p>
    <w:p>
      <w:pPr>
        <w:pStyle w:val="HTMLPreformatted"/>
        <w:rPr/>
      </w:pPr>
      <w:r>
        <w:rPr/>
        <w:t>highways, and waterways are accessed.</w:t>
      </w:r>
    </w:p>
    <w:p>
      <w:pPr>
        <w:pStyle w:val="HTMLPreformatted"/>
        <w:rPr/>
      </w:pPr>
      <w:r>
        <w:rPr/>
        <w:t xml:space="preserve">   </w:t>
      </w:r>
      <w:r>
        <w:rPr/>
        <w:t>(b) The control, to be reasonable, shall, at a minimum, be applied</w:t>
      </w:r>
    </w:p>
    <w:p>
      <w:pPr>
        <w:pStyle w:val="HTMLPreformatted"/>
        <w:rPr/>
      </w:pPr>
      <w:r>
        <w:rPr/>
        <w:t>to all entities in an equivalent manner.</w:t>
      </w:r>
    </w:p>
    <w:p>
      <w:pPr>
        <w:pStyle w:val="HTMLPreformatted"/>
        <w:rPr/>
      </w:pPr>
      <w:r>
        <w:rPr/>
        <w:t xml:space="preserve">   </w:t>
      </w:r>
      <w:r>
        <w:rPr/>
        <w:t>(c) Nothing in this section shall add to or subtract from any</w:t>
      </w:r>
    </w:p>
    <w:p>
      <w:pPr>
        <w:pStyle w:val="HTMLPreformatted"/>
        <w:rPr/>
      </w:pPr>
      <w:r>
        <w:rPr/>
        <w:t>existing authority with respect to the imposition of fees by</w:t>
      </w:r>
    </w:p>
    <w:p>
      <w:pPr>
        <w:pStyle w:val="HTMLPreformatted"/>
        <w:rPr/>
      </w:pPr>
      <w:r>
        <w:rPr/>
        <w:t>municipalities.</w:t>
      </w:r>
    </w:p>
    <w:p>
      <w:pPr>
        <w:pStyle w:val="HTMLPreformatted"/>
        <w:rPr/>
      </w:pPr>
      <w:r>
        <w:rPr/>
      </w:r>
    </w:p>
    <w:p>
      <w:pPr>
        <w:pStyle w:val="HTMLPreformatted"/>
        <w:keepNext w:val="true"/>
        <w:rPr>
          <w:b/>
          <w:bCs/>
          <w:u w:val="single"/>
        </w:rPr>
      </w:pPr>
      <w:r>
        <w:rPr>
          <w:b/>
          <w:bCs/>
          <w:u w:val="single"/>
        </w:rPr>
        <w:t>CALIFORNIA GOVERNMENT CODE</w:t>
      </w:r>
    </w:p>
    <w:p>
      <w:pPr>
        <w:pStyle w:val="HTMLPreformatted"/>
        <w:keepNext w:val="true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TMLPreformatted"/>
        <w:keepNext w:val="true"/>
        <w:rPr/>
      </w:pPr>
      <w:r>
        <w:rPr>
          <w:rStyle w:val="Strong"/>
          <w:rFonts w:cs="Times New Roman" w:ascii="Times New Roman" w:hAnsi="Times New Roman"/>
        </w:rPr>
        <w:t>§</w:t>
      </w:r>
      <w:r>
        <w:rPr>
          <w:rStyle w:val="Strong"/>
        </w:rPr>
        <w:t>50030</w:t>
      </w:r>
      <w:r>
        <w:rPr/>
        <w:t>.  Any permit fee imposed by a city, including a chartered</w:t>
      </w:r>
    </w:p>
    <w:p>
      <w:pPr>
        <w:pStyle w:val="HTMLPreformatted"/>
        <w:rPr/>
      </w:pPr>
      <w:r>
        <w:rPr/>
        <w:t>city, a county, or a city and county, for the placement,</w:t>
      </w:r>
    </w:p>
    <w:p>
      <w:pPr>
        <w:pStyle w:val="HTMLPreformatted"/>
        <w:rPr/>
      </w:pPr>
      <w:r>
        <w:rPr/>
        <w:t>installation, repair, or upgrading of telecommunications facilities</w:t>
      </w:r>
    </w:p>
    <w:p>
      <w:pPr>
        <w:pStyle w:val="HTMLPreformatted"/>
        <w:rPr/>
      </w:pPr>
      <w:r>
        <w:rPr/>
        <w:t>such as lines, poles, or antennas by a telephone corporation that has</w:t>
      </w:r>
    </w:p>
    <w:p>
      <w:pPr>
        <w:pStyle w:val="HTMLPreformatted"/>
        <w:rPr/>
      </w:pPr>
      <w:r>
        <w:rPr/>
        <w:t>obtained all required authorizations to provide telecommunications</w:t>
      </w:r>
    </w:p>
    <w:p>
      <w:pPr>
        <w:pStyle w:val="HTMLPreformatted"/>
        <w:rPr/>
      </w:pPr>
      <w:r>
        <w:rPr/>
        <w:t>services from the Public Utilities Commission and the Federal</w:t>
      </w:r>
    </w:p>
    <w:p>
      <w:pPr>
        <w:pStyle w:val="HTMLPreformatted"/>
        <w:rPr/>
      </w:pPr>
      <w:r>
        <w:rPr/>
        <w:t>Communications Commission, shall not exceed the reasonable costs of</w:t>
      </w:r>
    </w:p>
    <w:p>
      <w:pPr>
        <w:pStyle w:val="HTMLPreformatted"/>
        <w:rPr/>
      </w:pPr>
      <w:r>
        <w:rPr/>
        <w:t>providing the service for which the fee is charged and shall not be</w:t>
      </w:r>
    </w:p>
    <w:p>
      <w:pPr>
        <w:pStyle w:val="HTMLPreformatted"/>
        <w:rPr/>
      </w:pPr>
      <w:r>
        <w:rPr/>
        <w:t>levied for general revenue purposes.</w:t>
      </w:r>
    </w:p>
    <w:p>
      <w:pPr>
        <w:pStyle w:val="HTMLPreformatted"/>
        <w:rPr/>
      </w:pPr>
      <w:r>
        <w:rPr/>
      </w:r>
    </w:p>
    <w:p>
      <w:pPr>
        <w:pStyle w:val="HTMLPreformatted"/>
        <w:rPr>
          <w:b/>
          <w:bCs/>
        </w:rPr>
      </w:pPr>
      <w:r>
        <w:rPr>
          <w:b/>
          <w:bCs/>
          <w:u w:val="single"/>
        </w:rPr>
        <w:t>CALIFORNIA CODE OF CIVIL PROCEDURE</w:t>
      </w:r>
    </w:p>
    <w:p>
      <w:pPr>
        <w:pStyle w:val="HTMLPreformatted"/>
        <w:rPr>
          <w:b/>
          <w:bCs/>
        </w:rPr>
      </w:pPr>
      <w:r>
        <w:rPr>
          <w:b/>
          <w:bCs/>
        </w:rPr>
      </w:r>
    </w:p>
    <w:p>
      <w:pPr>
        <w:pStyle w:val="HTMLPreformatted"/>
        <w:rPr/>
      </w:pPr>
      <w:r>
        <w:rPr>
          <w:rStyle w:val="Strong"/>
          <w:rFonts w:cs="Times New Roman" w:ascii="Times New Roman" w:hAnsi="Times New Roman"/>
        </w:rPr>
        <w:t>§</w:t>
      </w:r>
      <w:r>
        <w:rPr>
          <w:rStyle w:val="Strong"/>
        </w:rPr>
        <w:t>1230.010, et seq.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1230</w:t>
      </w:r>
      <w:r>
        <w:rPr/>
        <w:t>.</w:t>
      </w:r>
      <w:r>
        <w:rPr>
          <w:rStyle w:val="Strong"/>
        </w:rPr>
        <w:t>010</w:t>
      </w:r>
      <w:r>
        <w:rPr/>
        <w:t>.  This title shall be known and may be cited as the Eminent</w:t>
      </w:r>
    </w:p>
    <w:p>
      <w:pPr>
        <w:pStyle w:val="HTMLPreformatted"/>
        <w:rPr/>
      </w:pPr>
      <w:r>
        <w:rPr/>
        <w:t>Domain Law.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1230</w:t>
      </w:r>
      <w:r>
        <w:rPr>
          <w:b/>
          <w:bCs/>
        </w:rPr>
        <w:t>.020.</w:t>
      </w:r>
      <w:r>
        <w:rPr/>
        <w:t xml:space="preserve">  Except as otherwise specifically provided by statute, the</w:t>
      </w:r>
    </w:p>
    <w:p>
      <w:pPr>
        <w:pStyle w:val="HTMLPreformatted"/>
        <w:rPr/>
      </w:pPr>
      <w:r>
        <w:rPr/>
        <w:t>power of eminent domain may be exercised only as provided in this</w:t>
      </w:r>
    </w:p>
    <w:p>
      <w:pPr>
        <w:pStyle w:val="HTMLPreformatted"/>
        <w:rPr/>
      </w:pPr>
      <w:r>
        <w:rPr/>
        <w:t>title.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1230</w:t>
      </w:r>
      <w:r>
        <w:rPr>
          <w:b/>
          <w:bCs/>
        </w:rPr>
        <w:t>.030.</w:t>
      </w:r>
      <w:r>
        <w:rPr/>
        <w:t xml:space="preserve">  Nothing in this title requires that the power of eminent</w:t>
      </w:r>
    </w:p>
    <w:p>
      <w:pPr>
        <w:pStyle w:val="HTMLPreformatted"/>
        <w:rPr/>
      </w:pPr>
      <w:r>
        <w:rPr/>
        <w:t>domain be exercised to acquire property necessary for public use.</w:t>
      </w:r>
    </w:p>
    <w:p>
      <w:pPr>
        <w:pStyle w:val="HTMLPreformatted"/>
        <w:rPr/>
      </w:pPr>
      <w:r>
        <w:rPr/>
        <w:t>Whether property necessary for public use is to be acquired by</w:t>
      </w:r>
    </w:p>
    <w:p>
      <w:pPr>
        <w:pStyle w:val="HTMLPreformatted"/>
        <w:rPr/>
      </w:pPr>
      <w:r>
        <w:rPr/>
        <w:t>purchase or other means or by eminent domain is a decision left to</w:t>
      </w:r>
    </w:p>
    <w:p>
      <w:pPr>
        <w:pStyle w:val="HTMLPreformatted"/>
        <w:rPr/>
      </w:pPr>
      <w:r>
        <w:rPr/>
        <w:t>the discretion of the person authorized to acquire the property.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1230</w:t>
      </w:r>
      <w:r>
        <w:rPr>
          <w:b/>
          <w:bCs/>
        </w:rPr>
        <w:t>.040.</w:t>
      </w:r>
      <w:r>
        <w:rPr/>
        <w:t xml:space="preserve">  Except as otherwise provided in this title, the rules of</w:t>
      </w:r>
    </w:p>
    <w:p>
      <w:pPr>
        <w:pStyle w:val="HTMLPreformatted"/>
        <w:rPr/>
      </w:pPr>
      <w:r>
        <w:rPr/>
        <w:t xml:space="preserve">practice that govern </w:t>
      </w:r>
      <w:r>
        <w:rPr>
          <w:rStyle w:val="Strong"/>
        </w:rPr>
        <w:t>civil</w:t>
      </w:r>
      <w:r>
        <w:rPr/>
        <w:t xml:space="preserve"> actions generally are the rules of</w:t>
      </w:r>
    </w:p>
    <w:p>
      <w:pPr>
        <w:pStyle w:val="HTMLPreformatted"/>
        <w:rPr/>
      </w:pPr>
      <w:r>
        <w:rPr/>
        <w:t>practice for eminent domain proceedings.</w:t>
      </w:r>
    </w:p>
    <w:p>
      <w:pPr>
        <w:pStyle w:val="HTMLPreformatted"/>
        <w:keepNext w:val="true"/>
        <w:rPr/>
      </w:pPr>
      <w:r>
        <w:rPr>
          <w:rStyle w:val="Strong"/>
        </w:rPr>
        <w:t>1230</w:t>
      </w:r>
      <w:r>
        <w:rPr>
          <w:b/>
          <w:bCs/>
        </w:rPr>
        <w:t>.050.</w:t>
      </w:r>
      <w:r>
        <w:rPr/>
        <w:t xml:space="preserve">  The court in which a proceeding in eminent domain is</w:t>
      </w:r>
    </w:p>
    <w:p>
      <w:pPr>
        <w:pStyle w:val="HTMLPreformatted"/>
        <w:keepNext w:val="true"/>
        <w:rPr/>
      </w:pPr>
      <w:r>
        <w:rPr/>
        <w:t>brought has the power to:</w:t>
      </w:r>
    </w:p>
    <w:p>
      <w:pPr>
        <w:pStyle w:val="HTMLPreformatted"/>
        <w:keepNext w:val="true"/>
        <w:rPr/>
      </w:pPr>
      <w:r>
        <w:rPr/>
        <w:t xml:space="preserve">   </w:t>
      </w:r>
      <w:r>
        <w:rPr/>
        <w:t>(a) Determine the right to possession of the property, as between</w:t>
      </w:r>
    </w:p>
    <w:p>
      <w:pPr>
        <w:pStyle w:val="HTMLPreformatted"/>
        <w:keepNext w:val="true"/>
        <w:rPr/>
      </w:pPr>
      <w:r>
        <w:rPr/>
        <w:t>the plaintiff and the defendant, in accordance with this title.</w:t>
      </w:r>
    </w:p>
    <w:p>
      <w:pPr>
        <w:pStyle w:val="HTMLPreformatted"/>
        <w:keepNext w:val="true"/>
        <w:rPr/>
      </w:pPr>
      <w:r>
        <w:rPr/>
        <w:t xml:space="preserve">   </w:t>
      </w:r>
      <w:r>
        <w:rPr/>
        <w:t>(b) Enforce any of its orders for possession by appropriate</w:t>
      </w:r>
    </w:p>
    <w:p>
      <w:pPr>
        <w:pStyle w:val="HTMLPreformatted"/>
        <w:keepNext w:val="true"/>
        <w:rPr/>
      </w:pPr>
      <w:r>
        <w:rPr/>
        <w:t>process.  The plaintiff is entitled to enforcement of an order for</w:t>
      </w:r>
    </w:p>
    <w:p>
      <w:pPr>
        <w:pStyle w:val="HTMLPreformatted"/>
        <w:rPr/>
      </w:pPr>
      <w:r>
        <w:rPr/>
        <w:t>possession as a matter of right.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1230</w:t>
      </w:r>
      <w:r>
        <w:rPr>
          <w:b/>
          <w:bCs/>
        </w:rPr>
        <w:t>.060.</w:t>
      </w:r>
      <w:r>
        <w:rPr/>
        <w:t xml:space="preserve">  Nothing in this title affects any other statute granting</w:t>
      </w:r>
    </w:p>
    <w:p>
      <w:pPr>
        <w:pStyle w:val="HTMLPreformatted"/>
        <w:rPr/>
      </w:pPr>
      <w:r>
        <w:rPr/>
        <w:t>jurisdiction over any issue in eminent domain proceedings to the</w:t>
      </w:r>
    </w:p>
    <w:p>
      <w:pPr>
        <w:pStyle w:val="HTMLPreformatted"/>
        <w:rPr/>
      </w:pPr>
      <w:r>
        <w:rPr/>
        <w:t>Public Utilities Commission.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1230</w:t>
      </w:r>
      <w:r>
        <w:rPr>
          <w:b/>
          <w:bCs/>
        </w:rPr>
        <w:t>.065.</w:t>
      </w:r>
      <w:r>
        <w:rPr/>
        <w:t xml:space="preserve">  (a) This title becomes operative July 1, 1976.</w:t>
      </w:r>
    </w:p>
    <w:p>
      <w:pPr>
        <w:pStyle w:val="HTMLPreformatted"/>
        <w:rPr/>
      </w:pPr>
      <w:r>
        <w:rPr/>
        <w:t xml:space="preserve">   </w:t>
      </w:r>
      <w:r>
        <w:rPr/>
        <w:t>(b) This title does not apply to an eminent domain proceeding</w:t>
      </w:r>
    </w:p>
    <w:p>
      <w:pPr>
        <w:pStyle w:val="HTMLPreformatted"/>
        <w:rPr/>
      </w:pPr>
      <w:r>
        <w:rPr/>
        <w:t>commenced prior to January 1, 1976.  Subject to subdivisions (c) and</w:t>
      </w:r>
    </w:p>
    <w:p>
      <w:pPr>
        <w:pStyle w:val="HTMLPreformatted"/>
        <w:rPr/>
      </w:pPr>
      <w:r>
        <w:rPr/>
        <w:t>(d), in the case of an eminent domain proceeding which is commenced</w:t>
      </w:r>
    </w:p>
    <w:p>
      <w:pPr>
        <w:pStyle w:val="HTMLPreformatted"/>
        <w:rPr/>
      </w:pPr>
      <w:r>
        <w:rPr/>
        <w:t>on or after January 1, 1976, but prior to the operative date, this</w:t>
      </w:r>
    </w:p>
    <w:p>
      <w:pPr>
        <w:pStyle w:val="HTMLPreformatted"/>
        <w:rPr/>
      </w:pPr>
      <w:r>
        <w:rPr/>
        <w:t>title upon the operative date applies to the proceeding to the</w:t>
      </w:r>
    </w:p>
    <w:p>
      <w:pPr>
        <w:pStyle w:val="HTMLPreformatted"/>
        <w:rPr/>
      </w:pPr>
      <w:r>
        <w:rPr/>
        <w:t>fullest extent practicable with respect to issues to be tried or</w:t>
      </w:r>
    </w:p>
    <w:p>
      <w:pPr>
        <w:pStyle w:val="HTMLPreformatted"/>
        <w:rPr/>
      </w:pPr>
      <w:r>
        <w:rPr/>
        <w:t>retried.</w:t>
      </w:r>
    </w:p>
    <w:p>
      <w:pPr>
        <w:pStyle w:val="HTMLPreformatted"/>
        <w:rPr/>
      </w:pPr>
      <w:r>
        <w:rPr/>
        <w:t xml:space="preserve">   </w:t>
      </w:r>
      <w:r>
        <w:rPr/>
        <w:t>(c) Chapter 3 (commencing with Section 1240.</w:t>
      </w:r>
      <w:r>
        <w:rPr>
          <w:rStyle w:val="Strong"/>
        </w:rPr>
        <w:t>010</w:t>
      </w:r>
      <w:r>
        <w:rPr/>
        <w:t>), Chapter 4</w:t>
      </w:r>
    </w:p>
    <w:p>
      <w:pPr>
        <w:pStyle w:val="HTMLPreformatted"/>
        <w:rPr/>
      </w:pPr>
      <w:r>
        <w:rPr/>
        <w:t>(commencing with Section 1245.</w:t>
      </w:r>
      <w:r>
        <w:rPr>
          <w:rStyle w:val="Strong"/>
        </w:rPr>
        <w:t>010</w:t>
      </w:r>
      <w:r>
        <w:rPr/>
        <w:t>), and Chapter 5 (commencing with</w:t>
      </w:r>
    </w:p>
    <w:p>
      <w:pPr>
        <w:pStyle w:val="HTMLPreformatted"/>
        <w:rPr/>
      </w:pPr>
      <w:r>
        <w:rPr/>
        <w:t>Section 1250.</w:t>
      </w:r>
      <w:r>
        <w:rPr>
          <w:rStyle w:val="Strong"/>
        </w:rPr>
        <w:t>010</w:t>
      </w:r>
      <w:r>
        <w:rPr/>
        <w:t>) do not apply to a proceeding commenced prior to the</w:t>
      </w:r>
    </w:p>
    <w:p>
      <w:pPr>
        <w:pStyle w:val="HTMLPreformatted"/>
        <w:rPr/>
      </w:pPr>
      <w:r>
        <w:rPr/>
        <w:t>operative date.</w:t>
      </w:r>
    </w:p>
    <w:p>
      <w:pPr>
        <w:pStyle w:val="HTMLPreformatted"/>
        <w:rPr/>
      </w:pPr>
      <w:r>
        <w:rPr/>
        <w:t xml:space="preserve">   </w:t>
      </w:r>
      <w:r>
        <w:rPr/>
        <w:t>(d) If, on the operative date, an appeal, motion to modify or</w:t>
      </w:r>
    </w:p>
    <w:p>
      <w:pPr>
        <w:pStyle w:val="HTMLPreformatted"/>
        <w:rPr/>
      </w:pPr>
      <w:r>
        <w:rPr/>
        <w:t>vacate the verdict or judgment, or motion for new trial is pending,</w:t>
      </w:r>
    </w:p>
    <w:p>
      <w:pPr>
        <w:pStyle w:val="HTMLPreformatted"/>
        <w:rPr/>
      </w:pPr>
      <w:r>
        <w:rPr/>
        <w:t>the law applicable thereto prior to the operative date governs the</w:t>
      </w:r>
    </w:p>
    <w:p>
      <w:pPr>
        <w:pStyle w:val="HTMLPreformatted"/>
        <w:rPr/>
      </w:pPr>
      <w:r>
        <w:rPr/>
        <w:t>determination of the appeal or motion.</w:t>
      </w:r>
    </w:p>
    <w:p>
      <w:pPr>
        <w:pStyle w:val="HTMLPreformatted"/>
        <w:rPr/>
      </w:pPr>
      <w:r>
        <w:rPr/>
      </w:r>
    </w:p>
    <w:p>
      <w:pPr>
        <w:pStyle w:val="HTMLPreformatted"/>
        <w:rPr/>
      </w:pPr>
      <w:r>
        <w:rPr>
          <w:rStyle w:val="Strong"/>
        </w:rPr>
        <w:t>1230</w:t>
      </w:r>
      <w:r>
        <w:rPr>
          <w:b/>
          <w:bCs/>
        </w:rPr>
        <w:t>.070.</w:t>
      </w:r>
      <w:r>
        <w:rPr/>
        <w:t xml:space="preserve">  No judgment rendered prior to the operative date of this</w:t>
      </w:r>
    </w:p>
    <w:p>
      <w:pPr>
        <w:pStyle w:val="HTMLPreformatted"/>
        <w:rPr/>
      </w:pPr>
      <w:r>
        <w:rPr/>
        <w:t>title in a proceeding to enforce the right of eminent domain is</w:t>
      </w:r>
    </w:p>
    <w:p>
      <w:pPr>
        <w:pStyle w:val="HTMLPreformatted"/>
        <w:rPr/>
      </w:pPr>
      <w:r>
        <w:rPr/>
        <w:t>affected by the enactment of this title and the repeal of former</w:t>
      </w:r>
    </w:p>
    <w:p>
      <w:pPr>
        <w:pStyle w:val="HTMLPreformatted"/>
        <w:rPr/>
      </w:pPr>
      <w:r>
        <w:rPr/>
        <w:t>Title 7 of this part.</w:t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altName w:val="Times New Roman"/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center"/>
      <w:pPr>
        <w:tabs>
          <w:tab w:val="num" w:pos="0"/>
        </w:tabs>
        <w:ind w:start="0" w:hanging="0"/>
      </w:pPr>
      <w:rPr>
        <w:caps/>
        <w:sz w:val="24"/>
        <w:i w:val="false"/>
        <w:b/>
        <w:rFonts w:ascii="Times New Roman" w:hAnsi="Times New Roman" w:cs="Times New Roman"/>
      </w:rPr>
    </w:lvl>
    <w:lvl w:ilvl="1">
      <w:start w:val="1"/>
      <w:numFmt w:val="upperRoman"/>
      <w:lvlText w:val="%2."/>
      <w:lvlJc w:val="start"/>
      <w:pPr>
        <w:tabs>
          <w:tab w:val="num" w:pos="720"/>
        </w:tabs>
        <w:ind w:start="720" w:hanging="720"/>
      </w:pPr>
      <w:rPr>
        <w:caps/>
        <w:sz w:val="24"/>
        <w:i w:val="false"/>
        <w:b/>
        <w:rFonts w:ascii="Times New Roman" w:hAnsi="Times New Roman" w:cs="Times New Roman"/>
      </w:rPr>
    </w:lvl>
    <w:lvl w:ilvl="2">
      <w:start w:val="1"/>
      <w:numFmt w:val="upperLetter"/>
      <w:lvlText w:val="%3."/>
      <w:lvlJc w:val="start"/>
      <w:pPr>
        <w:tabs>
          <w:tab w:val="num" w:pos="1440"/>
        </w:tabs>
        <w:ind w:start="1440" w:hanging="720"/>
      </w:pPr>
      <w:rPr>
        <w:sz w:val="24"/>
        <w:i w:val="false"/>
        <w:b/>
        <w:rFonts w:ascii="Times New Roman" w:hAnsi="Times New Roman" w:cs="Times New Roman"/>
      </w:rPr>
    </w:lvl>
    <w:lvl w:ilvl="3">
      <w:start w:val="1"/>
      <w:numFmt w:val="decimal"/>
      <w:lvlText w:val="%4."/>
      <w:lvlJc w:val="start"/>
      <w:pPr>
        <w:tabs>
          <w:tab w:val="num" w:pos="2160"/>
        </w:tabs>
        <w:ind w:start="2160" w:hanging="720"/>
      </w:pPr>
      <w:rPr>
        <w:sz w:val="24"/>
        <w:i w:val="false"/>
        <w:b/>
        <w:rFonts w:ascii="Times New Roman" w:hAnsi="Times New Roman" w:cs="Times New Roman"/>
      </w:rPr>
    </w:lvl>
    <w:lvl w:ilvl="4">
      <w:start w:val="1"/>
      <w:numFmt w:val="upperRoman"/>
      <w:lvlText w:val="%5."/>
      <w:lvlJc w:val="start"/>
      <w:pPr>
        <w:tabs>
          <w:tab w:val="num" w:pos="720"/>
        </w:tabs>
        <w:ind w:start="0" w:hanging="0"/>
      </w:pPr>
      <w:rPr>
        <w:sz w:val="24"/>
        <w:i w:val="false"/>
        <w:b/>
        <w:rFonts w:ascii="Times New Roman" w:hAnsi="Times New Roman" w:cs="Times New Roman"/>
      </w:rPr>
    </w:lvl>
    <w:lvl w:ilvl="5">
      <w:start w:val="1"/>
      <w:numFmt w:val="decimal"/>
      <w:lvlText w:val="Issue No. %6:"/>
      <w:lvlJc w:val="start"/>
      <w:pPr>
        <w:tabs>
          <w:tab w:val="num" w:pos="1440"/>
        </w:tabs>
        <w:ind w:start="0" w:hanging="0"/>
      </w:pPr>
      <w:rPr>
        <w:sz w:val="24"/>
        <w:i w:val="false"/>
        <w:b/>
        <w:rFonts w:ascii="Times New Roman Bold;Times New Roman" w:hAnsi="Times New Roman Bold;Times New Roman" w:cs="Times New Roman Bold;Times New Roman"/>
      </w:r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  <w:rPr/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  <w:rPr/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qFormat/>
    <w:pPr>
      <w:keepNext w:val="true"/>
      <w:spacing w:before="0" w:after="240"/>
      <w:outlineLvl w:val="1"/>
    </w:pPr>
    <w:rPr>
      <w:rFonts w:ascii="Times New Roman Bold;Times New Roman" w:hAnsi="Times New Roman Bold;Times New Roman"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 w:val="true"/>
      <w:spacing w:before="0" w:after="240"/>
      <w:outlineLvl w:val="2"/>
    </w:pPr>
    <w:rPr>
      <w:rFonts w:ascii="Times New Roman Bold;Times New Roman" w:hAnsi="Times New Roman Bold;Times New Roman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0" w:after="240"/>
      <w:outlineLvl w:val="3"/>
    </w:pPr>
    <w:rPr>
      <w:rFonts w:ascii="Times New Roman Bold;Times New Roman" w:hAnsi="Times New Roman Bold;Times New Roman" w:cs="Times New Roman Bold;Times New Roman"/>
      <w:b/>
      <w:bCs/>
      <w:szCs w:val="28"/>
    </w:rPr>
  </w:style>
  <w:style w:type="paragraph" w:styleId="Heading5">
    <w:name w:val="heading 5"/>
    <w:basedOn w:val="Normal"/>
    <w:next w:val="Normal"/>
    <w:qFormat/>
    <w:pPr>
      <w:keepNext w:val="true"/>
      <w:spacing w:before="0" w:after="240"/>
      <w:outlineLvl w:val="4"/>
    </w:pPr>
    <w:rPr>
      <w:rFonts w:ascii="Times New Roman Bold;Times New Roman" w:hAnsi="Times New Roman Bold;Times New Roman" w:cs="Times New Roman Bold;Times New Roman"/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keepNext w:val="true"/>
      <w:spacing w:before="0" w:after="240"/>
      <w:outlineLvl w:val="5"/>
    </w:pPr>
    <w:rPr>
      <w:rFonts w:ascii="Times New Roman Bold;Times New Roman" w:hAnsi="Times New Roman Bold;Times New Roman" w:cs="Times New Roman Bold;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keepNext w:val="true"/>
      <w:spacing w:before="0" w:after="240"/>
      <w:outlineLvl w:val="6"/>
    </w:pPr>
    <w:rPr>
      <w:rFonts w:ascii="Times New Roman Bold;Times New Roman" w:hAnsi="Times New Roman Bold;Times New Roman" w:cs="Times New Roman Bold;Times New Roman"/>
      <w:b/>
    </w:rPr>
  </w:style>
  <w:style w:type="paragraph" w:styleId="Heading8">
    <w:name w:val="heading 8"/>
    <w:basedOn w:val="Normal"/>
    <w:next w:val="Normal"/>
    <w:qFormat/>
    <w:pPr>
      <w:keepNext w:val="true"/>
      <w:spacing w:before="0" w:after="240"/>
      <w:outlineLvl w:val="7"/>
    </w:pPr>
    <w:rPr>
      <w:rFonts w:ascii="Times New Roman Bold;Times New Roman" w:hAnsi="Times New Roman Bold;Times New Roman" w:cs="Times New Roman Bold;Times New Roman"/>
      <w:b/>
      <w:iCs/>
    </w:rPr>
  </w:style>
  <w:style w:type="paragraph" w:styleId="Heading9">
    <w:name w:val="heading 9"/>
    <w:basedOn w:val="Normal"/>
    <w:next w:val="Normal"/>
    <w:qFormat/>
    <w:pPr>
      <w:keepNext w:val="true"/>
      <w:spacing w:before="0" w:after="240"/>
      <w:outlineLvl w:val="8"/>
    </w:pPr>
    <w:rPr>
      <w:rFonts w:ascii="Times New Roman Bold;Times New Roman" w:hAnsi="Times New Roman Bold;Times New Roman" w:cs="Arial"/>
      <w:b/>
      <w:szCs w:val="22"/>
    </w:rPr>
  </w:style>
  <w:style w:type="character" w:styleId="WW8Num1z0">
    <w:name w:val="WW8Num1z0"/>
    <w:qFormat/>
    <w:rPr>
      <w:rFonts w:ascii="Times New Roman" w:hAnsi="Times New Roman" w:cs="Times New Roman"/>
      <w:b/>
      <w:i w:val="false"/>
      <w:caps/>
      <w:sz w:val="24"/>
    </w:rPr>
  </w:style>
  <w:style w:type="character" w:styleId="WW8Num1z2">
    <w:name w:val="WW8Num1z2"/>
    <w:qFormat/>
    <w:rPr>
      <w:rFonts w:ascii="Times New Roman" w:hAnsi="Times New Roman" w:cs="Times New Roman"/>
      <w:b/>
      <w:i w:val="false"/>
      <w:sz w:val="24"/>
    </w:rPr>
  </w:style>
  <w:style w:type="character" w:styleId="WW8Num1z5">
    <w:name w:val="WW8Num1z5"/>
    <w:qFormat/>
    <w:rPr>
      <w:rFonts w:ascii="Times New Roman Bold;Times New Roman" w:hAnsi="Times New Roman Bold;Times New Roman" w:cs="Times New Roman Bold;Times New Roman"/>
      <w:b/>
      <w:i w:val="false"/>
      <w:sz w:val="24"/>
    </w:rPr>
  </w:style>
  <w:style w:type="character" w:styleId="WW8Num1z6">
    <w:name w:val="WW8Num1z6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ldCentered">
    <w:name w:val="Bold Centered"/>
    <w:basedOn w:val="Normal"/>
    <w:next w:val="Normal"/>
    <w:qFormat/>
    <w:pPr>
      <w:jc w:val="center"/>
    </w:pPr>
    <w:rPr>
      <w:b/>
      <w:caps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  <w:jc w:val="both"/>
    </w:pPr>
    <w:rPr/>
  </w:style>
  <w:style w:type="paragraph" w:styleId="BodyText2">
    <w:name w:val="Body Text 2"/>
    <w:basedOn w:val="Normal"/>
    <w:qFormat/>
    <w:pPr>
      <w:spacing w:lineRule="auto" w:line="480"/>
      <w:ind w:firstLine="720" w:start="0" w:end="0"/>
    </w:pPr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2000-08-23T17:47:00Z</dcterms:created>
  <dc:creator>Dawn Adams</dc:creator>
  <dc:description/>
  <dc:language>en-CA</dc:language>
  <cp:lastModifiedBy>Camille Estes</cp:lastModifiedBy>
  <dcterms:modified xsi:type="dcterms:W3CDTF">2000-08-23T17:47:00Z</dcterms:modified>
  <cp:revision>2</cp:revision>
  <dc:subject/>
  <dc:title>PUBLIC UTILITIES CODE</dc:title>
</cp:coreProperties>
</file>