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868" w:type="dxa"/>
        <w:jc w:val="start"/>
        <w:tblInd w:w="0" w:type="dxa"/>
        <w:tblLayout w:type="fixed"/>
        <w:tblCellMar>
          <w:top w:w="0" w:type="dxa"/>
          <w:start w:w="108" w:type="dxa"/>
          <w:bottom w:w="0" w:type="dxa"/>
          <w:end w:w="108" w:type="dxa"/>
        </w:tblCellMar>
      </w:tblPr>
      <w:tblGrid>
        <w:gridCol w:w="1368"/>
        <w:gridCol w:w="1440"/>
        <w:gridCol w:w="1440"/>
        <w:gridCol w:w="5220"/>
        <w:gridCol w:w="5400"/>
      </w:tblGrid>
      <w:tr>
        <w:trPr/>
        <w:tc>
          <w:tcPr>
            <w:tcW w:w="1368"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pPr>
            <w:r>
              <w:rPr/>
              <w:t>Order 2000</w:t>
            </w:r>
          </w:p>
          <w:p>
            <w:pPr>
              <w:pStyle w:val="Normal"/>
              <w:rPr>
                <w:b/>
                <w:bCs/>
                <w:sz w:val="16"/>
              </w:rPr>
            </w:pPr>
            <w:r>
              <w:rPr>
                <w:b/>
                <w:bCs/>
                <w:sz w:val="16"/>
              </w:rPr>
              <w:t>Characteristics</w:t>
            </w:r>
          </w:p>
          <w:p>
            <w:pPr>
              <w:pStyle w:val="Normal"/>
              <w:rPr>
                <w:b/>
                <w:bCs/>
                <w:sz w:val="16"/>
              </w:rPr>
            </w:pPr>
            <w:r>
              <w:rPr>
                <w:b/>
                <w:bCs/>
                <w:sz w:val="16"/>
              </w:rPr>
              <w:t>and Functions</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Collaborative</w:t>
            </w:r>
          </w:p>
          <w:p>
            <w:pPr>
              <w:pStyle w:val="Normal"/>
              <w:rPr>
                <w:b/>
                <w:bCs/>
                <w:sz w:val="16"/>
              </w:rPr>
            </w:pPr>
            <w:r>
              <w:rPr>
                <w:b/>
                <w:bCs/>
                <w:sz w:val="16"/>
              </w:rPr>
              <w:t>Transco/Market</w:t>
            </w:r>
          </w:p>
          <w:p>
            <w:pPr>
              <w:pStyle w:val="Normal"/>
              <w:rPr>
                <w:b/>
                <w:bCs/>
                <w:sz w:val="16"/>
              </w:rPr>
            </w:pPr>
            <w:r>
              <w:rPr>
                <w:b/>
                <w:bCs/>
                <w:sz w:val="16"/>
              </w:rPr>
              <w:t>Administrator Model</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RTO</w:t>
            </w:r>
          </w:p>
          <w:p>
            <w:pPr>
              <w:pStyle w:val="Normal"/>
              <w:rPr>
                <w:b/>
                <w:bCs/>
                <w:sz w:val="16"/>
              </w:rPr>
            </w:pPr>
            <w:r>
              <w:rPr>
                <w:b/>
                <w:bCs/>
                <w:sz w:val="16"/>
              </w:rPr>
              <w:t>Southeast</w:t>
            </w:r>
          </w:p>
          <w:p>
            <w:pPr>
              <w:pStyle w:val="Normal"/>
              <w:rPr>
                <w:b/>
                <w:bCs/>
                <w:sz w:val="16"/>
              </w:rPr>
            </w:pPr>
            <w:r>
              <w:rPr>
                <w:b/>
                <w:bCs/>
                <w:sz w:val="16"/>
              </w:rPr>
              <w:t>System</w:t>
            </w:r>
          </w:p>
          <w:p>
            <w:pPr>
              <w:pStyle w:val="Normal"/>
              <w:rPr>
                <w:b/>
                <w:bCs/>
                <w:sz w:val="16"/>
              </w:rPr>
            </w:pPr>
            <w:r>
              <w:rPr>
                <w:b/>
                <w:bCs/>
                <w:sz w:val="16"/>
              </w:rPr>
              <w:t xml:space="preserve">Administrator </w:t>
            </w:r>
          </w:p>
          <w:p>
            <w:pPr>
              <w:pStyle w:val="Normal"/>
              <w:rPr>
                <w:b/>
                <w:bCs/>
                <w:sz w:val="16"/>
              </w:rPr>
            </w:pPr>
            <w:r>
              <w:rPr>
                <w:b/>
                <w:bCs/>
                <w:sz w:val="16"/>
              </w:rPr>
              <w:t>Model</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6"/>
              </w:rPr>
            </w:pPr>
            <w:r>
              <w:rPr>
                <w:b/>
                <w:bCs/>
                <w:sz w:val="16"/>
              </w:rPr>
            </w:r>
          </w:p>
          <w:p>
            <w:pPr>
              <w:pStyle w:val="Normal"/>
              <w:rPr>
                <w:b/>
                <w:bCs/>
                <w:sz w:val="16"/>
              </w:rPr>
            </w:pPr>
            <w:r>
              <w:rPr>
                <w:b/>
                <w:bCs/>
                <w:sz w:val="16"/>
              </w:rPr>
            </w:r>
          </w:p>
          <w:p>
            <w:pPr>
              <w:pStyle w:val="Normal"/>
              <w:rPr>
                <w:b/>
                <w:bCs/>
                <w:sz w:val="16"/>
              </w:rPr>
            </w:pPr>
            <w:r>
              <w:rPr>
                <w:b/>
                <w:bCs/>
                <w:sz w:val="16"/>
              </w:rPr>
              <w:t>Basis for Supporting Plan Applicant</w:t>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6"/>
              </w:rPr>
            </w:pPr>
            <w:r>
              <w:rPr>
                <w:b/>
                <w:bCs/>
                <w:sz w:val="16"/>
              </w:rPr>
            </w:r>
          </w:p>
          <w:p>
            <w:pPr>
              <w:pStyle w:val="Normal"/>
              <w:rPr>
                <w:b/>
                <w:bCs/>
                <w:sz w:val="16"/>
              </w:rPr>
            </w:pPr>
            <w:r>
              <w:rPr>
                <w:b/>
                <w:bCs/>
                <w:sz w:val="16"/>
              </w:rPr>
            </w:r>
          </w:p>
          <w:p>
            <w:pPr>
              <w:pStyle w:val="Normal"/>
              <w:rPr>
                <w:b/>
                <w:bCs/>
                <w:sz w:val="16"/>
              </w:rPr>
            </w:pPr>
            <w:r>
              <w:rPr>
                <w:b/>
                <w:bCs/>
                <w:sz w:val="16"/>
              </w:rPr>
              <w:t>Objections to Disfavored Applicant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Independence</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support due to encouragement of Transco and ITC (both of which are divested transmission companies with independent boards) and the SAC choice of IMA.   Do not like the 5 year automatic return of IMA to Transco, the TOs selecting the IMA candidates or market design residing with the Transco instead of the IMA.</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TOs make the final selection of the SA.  SAC sectors are heavily weighted toward TOs (IOUs, TO-coops, TO munis, federal, state-owned authorities). 5 year prohibition on complaints re: allocation of duties between SA and Transco.</w:t>
            </w:r>
          </w:p>
          <w:p>
            <w:pPr>
              <w:pStyle w:val="Normal"/>
              <w:rPr>
                <w:sz w:val="16"/>
              </w:rPr>
            </w:pPr>
            <w:r>
              <w:rPr>
                <w:sz w:val="16"/>
              </w:rPr>
              <w:t>Lack of capability to evolve to a full Transco-type RTO.</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Scope +</w:t>
            </w:r>
          </w:p>
          <w:p>
            <w:pPr>
              <w:pStyle w:val="Normal"/>
              <w:jc w:val="both"/>
              <w:rPr>
                <w:b/>
                <w:bCs/>
                <w:sz w:val="16"/>
              </w:rPr>
            </w:pPr>
            <w:r>
              <w:rPr>
                <w:b/>
                <w:bCs/>
                <w:sz w:val="16"/>
              </w:rPr>
              <w:t>Configuration</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Support the scope and configuration that includes the majority of the IOUs in the Southeast and encourages divestiture of their transmission assets into an independent board run company separated from generation.</w:t>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 xml:space="preserve">Operational </w:t>
            </w:r>
          </w:p>
          <w:p>
            <w:pPr>
              <w:pStyle w:val="Normal"/>
              <w:jc w:val="both"/>
              <w:rPr>
                <w:b/>
                <w:bCs/>
                <w:sz w:val="16"/>
              </w:rPr>
            </w:pPr>
            <w:r>
              <w:rPr>
                <w:b/>
                <w:bCs/>
                <w:sz w:val="16"/>
              </w:rPr>
              <w:t>Authority</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support the Grid proposal for LMP/financial model with unbalanced schedules.  STRONGLY support the Grid option to collapse control areas.  The IMA should have the authority to review the transmission facility ratings, rather than the Transco (Grid at 28).</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oppose the day ahead balanced schedule requirement.  Strongly oppose the financial penalties for imbalances as discriminatory and not required for reliability.  Imbalances should be settled at the clearing price without an unjustified penalty.</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Short-term</w:t>
            </w:r>
          </w:p>
          <w:p>
            <w:pPr>
              <w:pStyle w:val="Normal"/>
              <w:jc w:val="both"/>
              <w:rPr>
                <w:b/>
                <w:bCs/>
                <w:sz w:val="16"/>
              </w:rPr>
            </w:pPr>
            <w:r>
              <w:rPr>
                <w:b/>
                <w:bCs/>
                <w:sz w:val="16"/>
              </w:rPr>
              <w:t>Reliability</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support the Real Time Spot energy market.  STRONGLY support the real time central dispatch model.</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oppose the day ahead balanced schedule requirement.  This model only provides limited price signals in real time and such price signals appear to be driven by the control areas, rather than an independent central dispatcher (although many of the details are not clear.)</w:t>
            </w:r>
          </w:p>
        </w:tc>
      </w:tr>
      <w:tr>
        <w:trPr>
          <w:trHeight w:val="881"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Tariff Admin</w:t>
            </w:r>
          </w:p>
          <w:p>
            <w:pPr>
              <w:pStyle w:val="Normal"/>
              <w:jc w:val="both"/>
              <w:rPr>
                <w:b/>
                <w:bCs/>
                <w:sz w:val="16"/>
              </w:rPr>
            </w:pPr>
            <w:r>
              <w:rPr>
                <w:b/>
                <w:bCs/>
                <w:sz w:val="16"/>
              </w:rPr>
              <w:t>and Design</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support all load taking service under the OATT.  STRONGLY support conversion of existing transmission agreements to service under the OATT.  Agree with recovery of cost for existing facilities through rates for load.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oppose fact that not all load is subject to the rates of the OATT.  Oppose the provisions for maintenance of zonal rates through 2012.</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Congestion Management</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VERY STRONGLY support the Entergy/SPP LMP/Financial Rights model with a Real Time Spot Energy market.  STRONGLY disagree with leaving the option open for a Physical Rights model.</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Physical Rights model does not provide the flexibility needed to efficiently manage congestion as real time approaches and does not provide the liquidity necessary to support market development.  Strongly oppose the balanced day ahead schedule requirement with penalties.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Parallel</w:t>
            </w:r>
          </w:p>
          <w:p>
            <w:pPr>
              <w:pStyle w:val="Normal"/>
              <w:jc w:val="both"/>
              <w:rPr>
                <w:b/>
                <w:bCs/>
                <w:sz w:val="16"/>
              </w:rPr>
            </w:pPr>
            <w:r>
              <w:rPr>
                <w:b/>
                <w:bCs/>
                <w:sz w:val="16"/>
              </w:rPr>
              <w:t>Path Flow</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strong preference since neither proposal is highly developed yet.)  Parallel path flow problems are radically reduced by utilizing the same or similar congestion management models across RTOs.  Currently, the Northeast uses a financial rights type model and the MISO has announced plans to adopt a financial rights model.</w:t>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Ancillary</w:t>
            </w:r>
          </w:p>
          <w:p>
            <w:pPr>
              <w:pStyle w:val="Normal"/>
              <w:jc w:val="both"/>
              <w:rPr>
                <w:b/>
                <w:bCs/>
                <w:sz w:val="16"/>
              </w:rPr>
            </w:pPr>
            <w:r>
              <w:rPr>
                <w:b/>
                <w:bCs/>
                <w:sz w:val="16"/>
              </w:rPr>
              <w:t>Services</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STRONGLY support the use of a Real Time Spot energy market with settlement at real time prices (Grids Protocol at 8).</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Insufficient development of proposal to determine problems.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r>
          </w:p>
          <w:p>
            <w:pPr>
              <w:pStyle w:val="Normal"/>
              <w:jc w:val="both"/>
              <w:rPr>
                <w:b/>
                <w:bCs/>
                <w:sz w:val="16"/>
              </w:rPr>
            </w:pPr>
            <w:r>
              <w:rPr>
                <w:b/>
                <w:bCs/>
                <w:sz w:val="16"/>
              </w:rPr>
              <w:t>OASIS</w:t>
            </w:r>
          </w:p>
          <w:p>
            <w:pPr>
              <w:pStyle w:val="Normal"/>
              <w:jc w:val="both"/>
              <w:rPr>
                <w:b/>
                <w:bCs/>
                <w:sz w:val="16"/>
              </w:rPr>
            </w:pPr>
            <w:r>
              <w:rPr>
                <w:b/>
                <w:bCs/>
                <w:sz w:val="16"/>
              </w:rPr>
              <w:t>TTC/ATC</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strong issues with either).  Approve of both models because both commit to one OATT, one OASIS (with calculations of ATC/TTC performed by the IMA/SA), one interconnection policy and pro forma agreement.</w:t>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Market</w:t>
            </w:r>
          </w:p>
          <w:p>
            <w:pPr>
              <w:pStyle w:val="Normal"/>
              <w:jc w:val="both"/>
              <w:rPr>
                <w:b/>
                <w:bCs/>
                <w:sz w:val="16"/>
              </w:rPr>
            </w:pPr>
            <w:r>
              <w:rPr>
                <w:b/>
                <w:bCs/>
                <w:sz w:val="16"/>
              </w:rPr>
              <w:t>Monitoring</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(Both models are fine due to the adoption of the GridFlorida protocols in both).  Disagree to the extent that MM can unilaterally impose penalties or mitigation absent Commission approval (need clarification.)</w:t>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Planning +</w:t>
            </w:r>
          </w:p>
          <w:p>
            <w:pPr>
              <w:pStyle w:val="Normal"/>
              <w:jc w:val="both"/>
              <w:rPr>
                <w:b/>
                <w:bCs/>
                <w:sz w:val="16"/>
              </w:rPr>
            </w:pPr>
            <w:r>
              <w:rPr>
                <w:b/>
                <w:bCs/>
                <w:sz w:val="16"/>
              </w:rPr>
              <w:t>Expansion</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Agree with the planning functions provided to the ITC.</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Disagree with the right of first refusal to the local transmission owner unless a bidding provision is added.</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p>
            <w:pPr>
              <w:pStyle w:val="Normal"/>
              <w:jc w:val="both"/>
              <w:rPr>
                <w:b/>
                <w:bCs/>
                <w:sz w:val="16"/>
              </w:rPr>
            </w:pPr>
            <w:r>
              <w:rPr>
                <w:b/>
                <w:bCs/>
                <w:sz w:val="16"/>
              </w:rPr>
              <w:t>Interregional Coordination</w:t>
            </w:r>
          </w:p>
          <w:p>
            <w:pPr>
              <w:pStyle w:val="Normal"/>
              <w:jc w:val="both"/>
              <w:rPr>
                <w:b/>
                <w:bCs/>
                <w:sz w:val="16"/>
              </w:rPr>
            </w:pPr>
            <w:r>
              <w:rPr>
                <w:b/>
                <w:bCs/>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X</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real preference since both are substantially the same).  Interregional coordination is considerably easier by utilizing the same or similar congestion management models.</w:t>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Header"/>
        <w:tabs>
          <w:tab w:val="clear" w:pos="4320"/>
          <w:tab w:val="clear" w:pos="8640"/>
        </w:tabs>
        <w:rPr/>
      </w:pPr>
      <w:r>
        <w:rPr/>
      </w:r>
    </w:p>
    <w:sectPr>
      <w:headerReference w:type="default" r:id="rId2"/>
      <w:type w:val="nextPage"/>
      <w:pgSz w:orient="landscape" w:w="15840" w:h="12240"/>
      <w:pgMar w:left="720" w:right="720" w:gutter="0" w:header="706" w:top="762"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sz w:val="40"/>
      </w:rPr>
      <w:t xml:space="preserve">ENRON – </w:t>
    </w:r>
    <w:r>
      <w:rPr>
        <w:b/>
        <w:bCs/>
        <w:sz w:val="40"/>
        <w:u w:val="single"/>
      </w:rPr>
      <w:t>POWER MARKETER</w:t>
    </w:r>
  </w:p>
  <w:p>
    <w:pPr>
      <w:pStyle w:val="Header"/>
      <w:jc w:val="end"/>
      <w:rPr>
        <w:b/>
        <w:bCs/>
        <w:sz w:val="16"/>
        <w:u w:val="single"/>
      </w:rPr>
    </w:pPr>
    <w:r>
      <w:rPr>
        <w:b/>
        <w:bCs/>
        <w:sz w:val="16"/>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2001-08-24T17:25:00Z</dcterms:created>
  <dc:creator>lnoske</dc:creator>
  <dc:description/>
  <dc:language>en-CA</dc:language>
  <cp:lastModifiedBy>cnicola</cp:lastModifiedBy>
  <cp:lastPrinted>2001-08-24T14:55:00Z</cp:lastPrinted>
  <dcterms:modified xsi:type="dcterms:W3CDTF">2001-08-24T17:28:00Z</dcterms:modified>
  <cp:revision>3</cp:revision>
  <dc:subject/>
  <dc:title>Order 2000 Characteristics and Functions</dc:title>
</cp:coreProperties>
</file>