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0" w:after="240"/>
        <w:ind w:firstLine="720" w:end="0"/>
        <w:jc w:val="both"/>
        <w:rPr>
          <w:sz w:val="22"/>
        </w:rPr>
      </w:pPr>
      <w:r>
        <w:rPr>
          <w:sz w:val="22"/>
        </w:rPr>
        <w:t>For good and valuable consideration, the receipt of which is hereby acknowledged, Morgan Stanley Capital Group Inc. ("MSCGI") and Enron Canada Corp. (“Counterparty”) (each individually “Party” and collectively “Parties”) hereby agree as of the ______ day of _______________, _____, (the “Effective Date”) to the following Special Provisions, which hereby modify the GISB Base Contract for Short-Term Sale and Purchase of Natural Gas (including the General Terms and Conditions) (“Base Contract”), executed by the Parties on _________________, ____.  Unless specifically agreed otherwise in a Transaction Confirmation, the Base Contract, as amended by these Special Provisions, shall apply to all transactions for the purchase and sale of Gas between the Parties (each a “Transaction”), regardless of whether the delivery term for any such Transaction is of a short or long-term duration, and regardless of whether such Transaction was entered into prior to the Effective Date.  All capitalized terms not otherwise defined herein shall have the meaning set forth in the Base Contract.</w:t>
      </w:r>
    </w:p>
    <w:p>
      <w:pPr>
        <w:pStyle w:val="BodyText"/>
        <w:spacing w:before="0" w:after="240"/>
        <w:jc w:val="both"/>
        <w:rPr>
          <w:sz w:val="22"/>
        </w:rPr>
      </w:pPr>
      <w:r>
        <w:rPr>
          <w:sz w:val="22"/>
          <w:u w:val="single"/>
        </w:rPr>
        <w:t>Section 10.3.  Automatic Early Termination Applicability to Parties</w:t>
      </w:r>
    </w:p>
    <w:tbl>
      <w:tblPr>
        <w:tblW w:w="9360" w:type="dxa"/>
        <w:jc w:val="start"/>
        <w:tblInd w:w="120" w:type="dxa"/>
        <w:tblLayout w:type="fixed"/>
        <w:tblCellMar>
          <w:top w:w="0" w:type="dxa"/>
          <w:start w:w="120" w:type="dxa"/>
          <w:bottom w:w="0" w:type="dxa"/>
          <w:end w:w="120" w:type="dxa"/>
        </w:tblCellMar>
      </w:tblPr>
      <w:tblGrid>
        <w:gridCol w:w="1890"/>
        <w:gridCol w:w="2700"/>
        <w:gridCol w:w="1980"/>
        <w:gridCol w:w="2790"/>
      </w:tblGrid>
      <w:tr>
        <w:trPr/>
        <w:tc>
          <w:tcPr>
            <w:tcW w:w="1890" w:type="dxa"/>
            <w:tcBorders/>
          </w:tcPr>
          <w:p>
            <w:pPr>
              <w:pStyle w:val="Normal"/>
              <w:keepNext w:val="true"/>
              <w:keepLines/>
              <w:tabs>
                <w:tab w:val="left" w:pos="0" w:leader="none"/>
                <w:tab w:val="left" w:pos="720" w:leader="none"/>
                <w:tab w:val="left" w:pos="1440" w:leader="none"/>
              </w:tabs>
              <w:rPr>
                <w:sz w:val="22"/>
              </w:rPr>
            </w:pPr>
            <w:r>
              <w:rPr>
                <w:sz w:val="22"/>
              </w:rPr>
              <w:t>MSCGI:</w:t>
            </w:r>
          </w:p>
        </w:tc>
        <w:tc>
          <w:tcPr>
            <w:tcW w:w="2700" w:type="dxa"/>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fldChar w:fldCharType="begin">
                <w:ffData>
                  <w:name w:val="Check1"/>
                  <w:enabled/>
                  <w:calcOnExit w:val="0"/>
                  <w:checkBox>
                    <w:sizeAuto/>
                  </w:checkBox>
                </w:ffData>
              </w:fldChar>
            </w:r>
            <w:r>
              <w:rPr>
                <w:sz w:val="22"/>
              </w:rPr>
              <w:instrText xml:space="preserve"> FORMCHECKBOX </w:instrText>
            </w:r>
            <w:r>
              <w:rPr>
                <w:sz w:val="22"/>
              </w:rPr>
              <w:fldChar w:fldCharType="separate"/>
            </w:r>
            <w:bookmarkStart w:id="0" w:name="Check1"/>
            <w:bookmarkStart w:id="1" w:name="Check1"/>
            <w:bookmarkEnd w:id="1"/>
            <w:r>
              <w:rPr>
                <w:sz w:val="22"/>
              </w:rPr>
            </w:r>
            <w:r>
              <w:rPr>
                <w:sz w:val="22"/>
              </w:rPr>
              <w:fldChar w:fldCharType="end"/>
            </w:r>
            <w:r>
              <w:rPr>
                <w:sz w:val="22"/>
              </w:rPr>
              <w:t xml:space="preserve"> Applicable</w:t>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jc w:val="both"/>
              <w:rPr/>
            </w:pPr>
            <w:r>
              <w:fldChar w:fldCharType="begin">
                <w:ffData>
                  <w:name w:val="Check17"/>
                  <w:enabled/>
                  <w:calcOnExit w:val="0"/>
                  <w:checkBox>
                    <w:sizeAuto/>
                    <w:checked/>
                  </w:checkBox>
                </w:ffData>
              </w:fldChar>
            </w:r>
            <w:r>
              <w:rPr>
                <w:sz w:val="22"/>
              </w:rPr>
              <w:instrText xml:space="preserve"> FORMCHECKBOX </w:instrText>
            </w:r>
            <w:r>
              <w:rPr>
                <w:sz w:val="22"/>
              </w:rPr>
              <w:fldChar w:fldCharType="separate"/>
            </w:r>
            <w:bookmarkStart w:id="2" w:name="Check17"/>
            <w:bookmarkStart w:id="3" w:name="Check17"/>
            <w:bookmarkEnd w:id="3"/>
            <w:r>
              <w:rPr>
                <w:sz w:val="22"/>
              </w:rPr>
            </w:r>
            <w:r>
              <w:rPr>
                <w:sz w:val="22"/>
              </w:rPr>
              <w:fldChar w:fldCharType="end"/>
            </w:r>
            <w:r>
              <w:rPr>
                <w:sz w:val="22"/>
              </w:rPr>
              <w:t xml:space="preserve"> Inapplicable</w:t>
            </w:r>
          </w:p>
        </w:tc>
        <w:tc>
          <w:tcPr>
            <w:tcW w:w="1980" w:type="dxa"/>
            <w:tcBorders/>
          </w:tcPr>
          <w:p>
            <w:pPr>
              <w:pStyle w:val="Normal"/>
              <w:keepNext w:val="true"/>
              <w:keepLines/>
              <w:tabs>
                <w:tab w:val="left" w:pos="0" w:leader="none"/>
                <w:tab w:val="left" w:pos="720" w:leader="none"/>
              </w:tabs>
              <w:rPr>
                <w:sz w:val="22"/>
              </w:rPr>
            </w:pPr>
            <w:r>
              <w:rPr>
                <w:sz w:val="22"/>
              </w:rPr>
              <w:t>Counterparty:</w:t>
            </w:r>
          </w:p>
          <w:p>
            <w:pPr>
              <w:pStyle w:val="Normal"/>
              <w:keepNext w:val="true"/>
              <w:keepLines/>
              <w:tabs>
                <w:tab w:val="left" w:pos="0" w:leader="none"/>
                <w:tab w:val="left" w:pos="720" w:leader="none"/>
              </w:tabs>
              <w:rPr>
                <w:sz w:val="22"/>
              </w:rPr>
            </w:pPr>
            <w:r>
              <w:rPr>
                <w:sz w:val="22"/>
              </w:rPr>
            </w:r>
          </w:p>
        </w:tc>
        <w:tc>
          <w:tcPr>
            <w:tcW w:w="2790" w:type="dxa"/>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fldChar w:fldCharType="begin">
                <w:ffData>
                  <w:name w:val="Check2"/>
                  <w:enabled/>
                  <w:calcOnExit w:val="0"/>
                  <w:checkBox>
                    <w:sizeAuto/>
                  </w:checkBox>
                </w:ffData>
              </w:fldChar>
            </w:r>
            <w:r>
              <w:rPr>
                <w:sz w:val="22"/>
              </w:rPr>
              <w:instrText xml:space="preserve"> FORMCHECKBOX </w:instrText>
            </w:r>
            <w:r>
              <w:rPr>
                <w:sz w:val="22"/>
              </w:rPr>
              <w:fldChar w:fldCharType="separate"/>
            </w:r>
            <w:bookmarkStart w:id="4" w:name="Check2"/>
            <w:bookmarkStart w:id="5" w:name="Check2"/>
            <w:bookmarkEnd w:id="5"/>
            <w:r>
              <w:rPr>
                <w:sz w:val="22"/>
              </w:rPr>
            </w:r>
            <w:r>
              <w:rPr>
                <w:sz w:val="22"/>
              </w:rPr>
              <w:fldChar w:fldCharType="end"/>
            </w:r>
            <w:r>
              <w:rPr>
                <w:sz w:val="22"/>
              </w:rPr>
              <w:t xml:space="preserve"> Applicable</w:t>
            </w:r>
          </w:p>
          <w:p>
            <w:pPr>
              <w:pStyle w:val="Normal"/>
              <w:keepNext w:val="true"/>
              <w:keepLines/>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fldChar w:fldCharType="begin">
                <w:ffData>
                  <w:name w:val="Check3"/>
                  <w:enabled/>
                  <w:calcOnExit w:val="0"/>
                  <w:checkBox>
                    <w:sizeAuto/>
                  </w:checkBox>
                </w:ffData>
              </w:fldChar>
            </w:r>
            <w:r>
              <w:rPr>
                <w:sz w:val="22"/>
              </w:rPr>
              <w:instrText xml:space="preserve"> FORMCHECKBOX </w:instrText>
            </w:r>
            <w:r>
              <w:rPr>
                <w:sz w:val="22"/>
              </w:rPr>
              <w:fldChar w:fldCharType="separate"/>
            </w:r>
            <w:bookmarkStart w:id="6" w:name="Check3"/>
            <w:bookmarkStart w:id="7" w:name="Check3"/>
            <w:bookmarkEnd w:id="7"/>
            <w:r>
              <w:rPr>
                <w:sz w:val="22"/>
              </w:rPr>
            </w:r>
            <w:r>
              <w:rPr>
                <w:sz w:val="22"/>
              </w:rPr>
              <w:fldChar w:fldCharType="end"/>
            </w:r>
            <w:r>
              <w:rPr>
                <w:sz w:val="22"/>
              </w:rPr>
              <w:t xml:space="preserve"> Inapplicable</w:t>
            </w:r>
          </w:p>
        </w:tc>
      </w:tr>
    </w:tbl>
    <w:p>
      <w:pPr>
        <w:pStyle w:val="BodyText"/>
        <w:jc w:val="both"/>
        <w:rPr>
          <w:sz w:val="22"/>
          <w:u w:val="single"/>
        </w:rPr>
      </w:pPr>
      <w:r>
        <w:rPr>
          <w:sz w:val="22"/>
          <w:u w:val="single"/>
        </w:rPr>
      </w:r>
    </w:p>
    <w:p>
      <w:pPr>
        <w:pStyle w:val="BodyText"/>
        <w:spacing w:before="0" w:after="240"/>
        <w:jc w:val="both"/>
        <w:rPr/>
      </w:pPr>
      <w:r>
        <w:rPr>
          <w:sz w:val="22"/>
          <w:u w:val="single"/>
        </w:rPr>
        <w:t>Amendments To Section 1.  Purpose And Procedures</w:t>
      </w:r>
      <w:r>
        <w:rPr>
          <w:sz w:val="22"/>
        </w:rPr>
        <w:t xml:space="preserve">.  </w:t>
      </w:r>
    </w:p>
    <w:p>
      <w:pPr>
        <w:pStyle w:val="BodyText"/>
        <w:spacing w:before="0" w:after="240"/>
        <w:jc w:val="both"/>
        <w:rPr>
          <w:sz w:val="22"/>
        </w:rPr>
      </w:pPr>
      <w:r>
        <w:rPr>
          <w:sz w:val="22"/>
        </w:rPr>
        <w:t>Section 1.1 is amended by adding the following at the end thereof:</w:t>
      </w:r>
    </w:p>
    <w:p>
      <w:pPr>
        <w:pStyle w:val="BodyText3"/>
        <w:tabs>
          <w:tab w:val="clear" w:pos="720"/>
        </w:tabs>
        <w:spacing w:before="0" w:after="240"/>
        <w:ind w:start="720" w:end="0"/>
        <w:rPr>
          <w:sz w:val="22"/>
        </w:rPr>
      </w:pPr>
      <w:r>
        <w:rPr>
          <w:sz w:val="22"/>
        </w:rPr>
        <w:t>The Special Provisions are hereby incorporated into and made a part of the Base Contract between the Parties.  All Transactions are entered into in reliance on the fact that the Special Provisions, the Base Contract and all Transaction Confirmations form a single agreement between the Parties (collectively referred to as this “Contract”) and, in the absence of the same forming such a single agreement, the Parties would not otherwise enter into any Transactions.</w:t>
      </w:r>
    </w:p>
    <w:p>
      <w:pPr>
        <w:pStyle w:val="Normal"/>
        <w:ind w:start="720" w:end="0"/>
        <w:rPr/>
      </w:pPr>
      <w:r>
        <w:rPr>
          <w:b/>
          <w:sz w:val="22"/>
        </w:rPr>
        <w:t>Amendment and Restatement of Prior Agreement.</w:t>
      </w:r>
      <w:r>
        <w:rPr>
          <w:sz w:val="22"/>
        </w:rPr>
        <w:t xml:space="preserve">  This Agreement hereby amends and restates each agreement and confirmation relating to a Transaction between the parties hereto, including without limitation, those under the Master Firm Gas Purchase Agreement, dated June 8, 1994, by and between Enron Canada Corp.(formerly Enron Capital &amp; Trade Resources Canada Corp. and Enron Gas Service Canada Corp.) and Beau Canada Exploration Ltd. (the "Prior Incorporated Agreement"), the terms and conditions of which were incorporated by reference in the confirmations between the parties hereto.  From the date hereof, any Transaction entered into prior to the date hereof between the parties hereto, which fails by its terms expressly to exclude application of this Agreement, shall be deemed to incorporate the terms of and be governed by and construed in accordance with this Agreement.  Each agreement or confirmation governing any Transaction entered into prior to the date hereof ("Prior Transactions") shall constitute a supplement to, and form part of, this Agreement, and will be read and construed as one with this Agreement, and all such agreements and confirmations together with this Agreement shall constitute a single agreement.  Notwithstanding the foregoing, to the extent that any provision of this Agreement is deemed to be unenforceable in any jurisdiction with respect to Prior Transactions the confirmations of which incorporate by reference the Prior Incorporated Agreement, such provision shall, as to such jurisdiction (the "Unenforceable Jurisdiction"), be ineffective only to the extent of such unenforceability without invalidating the remaining provisions hereof or affecting the enforceability of such provision in any other jurisdiction, and to the extent permitted by law, any materially comparable provision(s) in the Prior Incorporated Agreement shall be deemed to continue to apply with respect to such Prior Transactions in the Unenforceable Jurisdiction.</w:t>
      </w:r>
    </w:p>
    <w:p>
      <w:pPr>
        <w:pStyle w:val="BodyText3"/>
        <w:tabs>
          <w:tab w:val="clear" w:pos="720"/>
        </w:tabs>
        <w:spacing w:before="0" w:after="240"/>
        <w:rPr>
          <w:sz w:val="22"/>
        </w:rPr>
      </w:pPr>
      <w:r>
        <w:rPr>
          <w:sz w:val="22"/>
        </w:rPr>
      </w:r>
    </w:p>
    <w:p>
      <w:pPr>
        <w:pStyle w:val="BodyText3"/>
        <w:tabs>
          <w:tab w:val="clear" w:pos="720"/>
        </w:tabs>
        <w:spacing w:before="0" w:after="240"/>
        <w:rPr>
          <w:b/>
          <w:sz w:val="22"/>
        </w:rPr>
      </w:pPr>
      <w:r>
        <w:rPr>
          <w:sz w:val="22"/>
        </w:rPr>
        <w:t xml:space="preserve">Section 1.2, “Oral Transaction Procedure,” is amended by inserting the following sentence between the third and fourth sentences: </w:t>
      </w:r>
    </w:p>
    <w:p>
      <w:pPr>
        <w:pStyle w:val="BodyText3"/>
        <w:tabs>
          <w:tab w:val="clear" w:pos="720"/>
        </w:tabs>
        <w:spacing w:before="0" w:after="240"/>
        <w:ind w:start="720" w:end="0"/>
        <w:rPr>
          <w:sz w:val="22"/>
        </w:rPr>
      </w:pPr>
      <w:r>
        <w:rPr>
          <w:sz w:val="22"/>
        </w:rPr>
        <w:t>The Parties agree not to contest, or to enter any defense concerning the validity or enforceability of any Transaction on the grounds that the documentation for such Transaction fails to comply with the requirements of any jurisdiction’s (of whatever country, province, or state) statute of frauds or any other statute, regulation or judicial decision that agreements be written or signed.</w:t>
      </w:r>
    </w:p>
    <w:p>
      <w:pPr>
        <w:pStyle w:val="Normal"/>
        <w:spacing w:before="0" w:after="240"/>
        <w:jc w:val="both"/>
        <w:rPr>
          <w:sz w:val="22"/>
        </w:rPr>
      </w:pPr>
      <w:r>
        <w:rPr>
          <w:sz w:val="22"/>
        </w:rPr>
        <w:t>Section 1.3 is amended by deleting the last two sentences and replacing them with the following:</w:t>
      </w:r>
    </w:p>
    <w:p>
      <w:pPr>
        <w:pStyle w:val="Normal"/>
        <w:spacing w:before="0" w:after="240"/>
        <w:ind w:start="720" w:end="0"/>
        <w:jc w:val="both"/>
        <w:rPr>
          <w:sz w:val="22"/>
        </w:rPr>
      </w:pPr>
      <w:r>
        <w:rPr>
          <w:sz w:val="22"/>
        </w:rPr>
        <w:t>In the event of a conflict among the terms of (i) the Transaction Confirmation (or in the absence of an effective Transaction Confirmation, the oral agreement), (ii) the Special Provisions, and (iii) the Base Contract, the terms of the documents shall govern in the priority listed in this sentence, provided however, that the terms of any Transaction Confirmation entered into prior to the Effective Date shall govern only as to the material economic terms (</w:t>
      </w:r>
      <w:r>
        <w:rPr>
          <w:spacing w:val="-2"/>
          <w:sz w:val="22"/>
        </w:rPr>
        <w:t>such as price, quantity, delivery point, etc.) of the relevant Transaction.</w:t>
      </w:r>
    </w:p>
    <w:p>
      <w:pPr>
        <w:pStyle w:val="BodyText"/>
        <w:keepNext w:val="true"/>
        <w:spacing w:before="0" w:after="240"/>
        <w:jc w:val="both"/>
        <w:rPr>
          <w:sz w:val="22"/>
          <w:u w:val="single"/>
        </w:rPr>
      </w:pPr>
      <w:r>
        <w:rPr>
          <w:sz w:val="22"/>
          <w:u w:val="single"/>
        </w:rPr>
        <w:t>Amendments To Section 2.  Definitions</w:t>
      </w:r>
    </w:p>
    <w:p>
      <w:pPr>
        <w:pStyle w:val="BodyText3"/>
        <w:keepNext w:val="true"/>
        <w:tabs>
          <w:tab w:val="clear" w:pos="720"/>
        </w:tabs>
        <w:spacing w:before="0" w:after="240"/>
        <w:rPr>
          <w:sz w:val="22"/>
        </w:rPr>
      </w:pPr>
      <w:r>
        <w:rPr>
          <w:sz w:val="22"/>
        </w:rPr>
        <w:t>Section 2.3 (the definition of "Business Day") is deleted and replaced with the following:</w:t>
      </w:r>
    </w:p>
    <w:p>
      <w:pPr>
        <w:pStyle w:val="BodyText3"/>
        <w:keepNext w:val="true"/>
        <w:tabs>
          <w:tab w:val="clear" w:pos="720"/>
        </w:tabs>
        <w:spacing w:before="0" w:after="240"/>
        <w:ind w:hanging="720" w:start="720" w:end="0"/>
        <w:rPr>
          <w:sz w:val="22"/>
        </w:rPr>
      </w:pPr>
      <w:r>
        <w:rPr>
          <w:sz w:val="22"/>
        </w:rPr>
        <w:t>2.3</w:t>
        <w:tab/>
        <w:t>"Business Day" shall mean any day except Saturday, Sunday or a national holiday.  United States holidays shall be those holidays observed by Federal Reserve member banks in New York City.  Canadian holidays shall be holidays observed by commercial banks in Calgary, Alberta.  Where Counterparty has its principal place of business in the United States, Canadian holidays shall not apply.  Where Counterparty has its principal place of business in Canada, both United States and Canadian holidays shall apply.</w:t>
      </w:r>
    </w:p>
    <w:p>
      <w:pPr>
        <w:pStyle w:val="BodyText3"/>
        <w:keepNext w:val="true"/>
        <w:tabs>
          <w:tab w:val="clear" w:pos="720"/>
        </w:tabs>
        <w:spacing w:before="0" w:after="240"/>
        <w:rPr>
          <w:sz w:val="22"/>
        </w:rPr>
      </w:pPr>
      <w:r>
        <w:rPr>
          <w:sz w:val="22"/>
        </w:rPr>
        <w:t>Section 2.7 (the definition of "Contract Price") is deleted and replaced with the following:</w:t>
      </w:r>
    </w:p>
    <w:p>
      <w:pPr>
        <w:pStyle w:val="BodyText3"/>
        <w:keepNext w:val="true"/>
        <w:tabs>
          <w:tab w:val="clear" w:pos="720"/>
        </w:tabs>
        <w:spacing w:before="0" w:after="240"/>
        <w:ind w:hanging="720" w:start="720" w:end="0"/>
        <w:rPr>
          <w:sz w:val="22"/>
        </w:rPr>
      </w:pPr>
      <w:r>
        <w:rPr>
          <w:sz w:val="22"/>
        </w:rPr>
        <w:t>2.7</w:t>
        <w:tab/>
        <w:t xml:space="preserve">“Contract Price” shall mean the amount expressed in U.S. or Canadian dollars (as appropriate) per Gas Unit agreed to be paid for Gas by the Purchaser to the Seller, as evidenced by the Contract Price on the Transaction Confirmation.  </w:t>
      </w:r>
    </w:p>
    <w:p>
      <w:pPr>
        <w:pStyle w:val="BodyText3"/>
        <w:keepNext w:val="true"/>
        <w:tabs>
          <w:tab w:val="clear" w:pos="720"/>
        </w:tabs>
        <w:spacing w:before="0" w:after="240"/>
        <w:rPr>
          <w:sz w:val="22"/>
        </w:rPr>
      </w:pPr>
      <w:r>
        <w:rPr>
          <w:sz w:val="22"/>
        </w:rPr>
        <w:t>Section 2.19 (the definition of "MMBtu") is amended by adding the following sentence at the end thereof: "For purposes of conversion, one MMBtu shall be equal to 1.055056 Gigajoules (GJ)."</w:t>
      </w:r>
    </w:p>
    <w:p>
      <w:pPr>
        <w:pStyle w:val="BodyText3"/>
        <w:keepNext w:val="true"/>
        <w:tabs>
          <w:tab w:val="clear" w:pos="720"/>
        </w:tabs>
        <w:spacing w:before="0" w:after="240"/>
        <w:rPr>
          <w:sz w:val="22"/>
        </w:rPr>
      </w:pPr>
      <w:r>
        <w:rPr>
          <w:sz w:val="22"/>
        </w:rPr>
        <w:t>Section 2 is amended by adding the following definitions at the end thereof:</w:t>
      </w:r>
    </w:p>
    <w:p>
      <w:pPr>
        <w:pStyle w:val="Normal"/>
        <w:numPr>
          <w:ilvl w:val="1"/>
          <w:numId w:val="2"/>
        </w:numPr>
        <w:suppressAutoHyphens w:val="true"/>
        <w:spacing w:before="0" w:after="240"/>
        <w:jc w:val="both"/>
        <w:rPr>
          <w:sz w:val="22"/>
        </w:rPr>
      </w:pPr>
      <w:r>
        <w:rPr>
          <w:sz w:val="22"/>
        </w:rPr>
        <w:t>"Affiliate" means, in relation to any person, any entity controlled, directly or indirectly, by such person, any entity that controls, directly or indirectly, such person, or any entity directly or indirectly under common control with such person, except that with respect to MSCGI the term Affiliate shall not include Morgan Stanley Derivative Products Inc.  For this purpose, "control" of any entity or person means ownership of a majority of the voting power of the entity or person.</w:t>
      </w:r>
    </w:p>
    <w:p>
      <w:pPr>
        <w:pStyle w:val="Normal"/>
        <w:numPr>
          <w:ilvl w:val="1"/>
          <w:numId w:val="2"/>
        </w:numPr>
        <w:suppressAutoHyphens w:val="true"/>
        <w:spacing w:before="0" w:after="240"/>
        <w:jc w:val="both"/>
        <w:rPr>
          <w:sz w:val="22"/>
        </w:rPr>
      </w:pPr>
      <w:r>
        <w:rPr>
          <w:sz w:val="22"/>
        </w:rPr>
        <w:t>"Bankrupt" means the Defaulting Party or any guarantor of such Party:</w:t>
      </w:r>
    </w:p>
    <w:p>
      <w:pPr>
        <w:pStyle w:val="Normal"/>
        <w:spacing w:before="0" w:after="120"/>
        <w:ind w:hanging="720" w:start="2160" w:end="0"/>
        <w:rPr>
          <w:sz w:val="22"/>
        </w:rPr>
      </w:pPr>
      <w:r>
        <w:rPr>
          <w:sz w:val="22"/>
        </w:rPr>
        <w:t>(i)</w:t>
        <w:tab/>
        <w:t>Is dissolved (other than pursuant to a consolidation, amalgamation or merger);</w:t>
      </w:r>
    </w:p>
    <w:p>
      <w:pPr>
        <w:pStyle w:val="Normal"/>
        <w:spacing w:before="0" w:after="120"/>
        <w:ind w:hanging="720" w:start="2160" w:end="0"/>
        <w:rPr>
          <w:sz w:val="22"/>
        </w:rPr>
      </w:pPr>
      <w:r>
        <w:rPr>
          <w:sz w:val="22"/>
        </w:rPr>
        <w:t>(ii)</w:t>
        <w:tab/>
        <w:t>Becomes insolvent or is unable to pay its debts or fails or admits in writing its inability generally to pay its debts as they become due;</w:t>
      </w:r>
    </w:p>
    <w:p>
      <w:pPr>
        <w:pStyle w:val="Normal"/>
        <w:spacing w:before="0" w:after="120"/>
        <w:ind w:hanging="720" w:start="2160" w:end="0"/>
        <w:rPr>
          <w:sz w:val="22"/>
        </w:rPr>
      </w:pPr>
      <w:r>
        <w:rPr>
          <w:sz w:val="22"/>
        </w:rPr>
        <w:t>(iii)</w:t>
        <w:tab/>
        <w:t>Makes a general assignment, arrangement or composition with or for the benefit of its creditors;</w:t>
      </w:r>
    </w:p>
    <w:p>
      <w:pPr>
        <w:pStyle w:val="Normal"/>
        <w:spacing w:before="0" w:after="120"/>
        <w:ind w:hanging="720" w:start="2160" w:end="0"/>
        <w:rPr>
          <w:sz w:val="22"/>
        </w:rPr>
      </w:pPr>
      <w:r>
        <w:rPr>
          <w:sz w:val="22"/>
        </w:rPr>
        <w:t>(iv)</w:t>
        <w:tab/>
        <w:t>Institutes or has instituted against it a proceeding seeking a judgment of insolvency or bankruptcy or any other relief under any bankruptcy or insolvency law or other similar law affecting creditor's rights, or a petition is presented for its winding-up or liquidation;</w:t>
      </w:r>
    </w:p>
    <w:p>
      <w:pPr>
        <w:pStyle w:val="Normal"/>
        <w:spacing w:before="0" w:after="120"/>
        <w:ind w:hanging="720" w:start="2160" w:end="0"/>
        <w:rPr>
          <w:sz w:val="22"/>
        </w:rPr>
      </w:pPr>
      <w:r>
        <w:rPr>
          <w:sz w:val="22"/>
        </w:rPr>
        <w:t>(v)</w:t>
        <w:tab/>
        <w:t>Has a resolution passed for its winding-up, official management or liquidation (other than pursuant to a consolidation, amalgamation or merger);</w:t>
      </w:r>
    </w:p>
    <w:p>
      <w:pPr>
        <w:pStyle w:val="Normal"/>
        <w:spacing w:before="0" w:after="120"/>
        <w:ind w:hanging="720" w:start="2160" w:end="0"/>
        <w:rPr>
          <w:sz w:val="22"/>
        </w:rPr>
      </w:pPr>
      <w:r>
        <w:rPr>
          <w:sz w:val="22"/>
        </w:rPr>
        <w:t>(vi)</w:t>
        <w:tab/>
        <w:t>Seeks or becomes subject to the appointment of an administrator, provisional liquidator, conservator, receiver, trustee, custodian or other similar official for it or substantially all its assets;</w:t>
      </w:r>
    </w:p>
    <w:p>
      <w:pPr>
        <w:pStyle w:val="Normal"/>
        <w:spacing w:before="0" w:after="120"/>
        <w:ind w:hanging="720" w:start="2160" w:end="0"/>
        <w:rPr>
          <w:sz w:val="22"/>
        </w:rPr>
      </w:pPr>
      <w:r>
        <w:rPr>
          <w:sz w:val="22"/>
        </w:rPr>
        <w:t>(vii)</w:t>
        <w:tab/>
        <w:t>Has a secured party take possession of all or substantially all of its assets, or has a distress, execution, attachment, sequestration or other legal process is levied, enforced or sued on or against all or substantially all its assets;</w:t>
      </w:r>
    </w:p>
    <w:p>
      <w:pPr>
        <w:pStyle w:val="Normal"/>
        <w:spacing w:before="0" w:after="120"/>
        <w:ind w:hanging="720" w:start="2160" w:end="0"/>
        <w:rPr>
          <w:sz w:val="22"/>
        </w:rPr>
      </w:pPr>
      <w:r>
        <w:rPr>
          <w:sz w:val="22"/>
        </w:rPr>
        <w:t>(viii)</w:t>
        <w:tab/>
        <w:t>Causes or is subject to any event with respect to it which, under the applicable laws of any jurisdiction, has an analogous effect to any of the events specified in clauses one to seven inclusive; or</w:t>
      </w:r>
    </w:p>
    <w:p>
      <w:pPr>
        <w:pStyle w:val="BodyText"/>
        <w:rPr/>
      </w:pPr>
      <w:r>
        <w:rPr/>
        <w:tab/>
        <w:tab/>
        <w:t>(ix)</w:t>
        <w:tab/>
        <w:t xml:space="preserve">Takes any action in furtherance of, or indicating its consent to, approval </w:t>
        <w:tab/>
        <w:tab/>
        <w:tab/>
        <w:tab/>
        <w:t>of, or acquiescence in, any of the foregoing acts.</w:t>
      </w:r>
    </w:p>
    <w:p>
      <w:pPr>
        <w:pStyle w:val="Normal"/>
        <w:numPr>
          <w:ilvl w:val="1"/>
          <w:numId w:val="2"/>
        </w:numPr>
        <w:suppressAutoHyphens w:val="true"/>
        <w:spacing w:before="0" w:after="240"/>
        <w:jc w:val="both"/>
        <w:rPr>
          <w:sz w:val="22"/>
        </w:rPr>
      </w:pPr>
      <w:r>
        <w:rPr>
          <w:sz w:val="22"/>
        </w:rPr>
        <w:t>“</w:t>
      </w:r>
      <w:r>
        <w:rPr>
          <w:sz w:val="22"/>
        </w:rPr>
        <w:t>Credit Assurance” means a cash pre-payment, an irrevocable standby letter of credit, and/or other security, all in a form and amount acceptable to the Requesting Party in its sole discretion.</w:t>
      </w:r>
    </w:p>
    <w:p>
      <w:pPr>
        <w:pStyle w:val="Normal"/>
        <w:numPr>
          <w:ilvl w:val="1"/>
          <w:numId w:val="2"/>
        </w:numPr>
        <w:suppressAutoHyphens w:val="true"/>
        <w:spacing w:before="0" w:after="240"/>
        <w:jc w:val="both"/>
        <w:rPr>
          <w:sz w:val="22"/>
        </w:rPr>
      </w:pPr>
      <w:r>
        <w:rPr>
          <w:sz w:val="22"/>
        </w:rPr>
        <w:t>“</w:t>
      </w:r>
      <w:r>
        <w:rPr>
          <w:sz w:val="22"/>
        </w:rPr>
        <w:t>Event of Default” means: (a) The failure of either Party or its guarantor to make payment as required or to perform any obligation under (i) this Agreement (which Event of Default shall not include a delay in payment that is cured within two (2) Business Days or a demand for payment, or any other failure of performance that is cured within (10) Business Days of a demand for cure), or (ii) any Specified Agreement, after giving effect to any applicable notice or grace period thereunder; (b) Either Party or any guarantor of such Party becomes Bankrupt; (c) The merger or consolidation of either Party or its guarantor with, or transfer of all or substantially all of the assets of either Party or its guarantor (the "event") to, any other person:  (i) which results in the financial condition of such Party or guarantor being materially weaker than it was immediately prior thereto, or (ii) pursuant to which the entity existing after the event does not assume all the obligations of such Party or guarantor by operation of law or otherwise; (d) Either Party or its guarantor: (i) defaults with respect to any of its indebtedness to third parties, resulting in such obligations becoming due before they would otherwise become due; or (ii) fails to make payment when due under such indebtedness; in either case in an aggregate amount (individually or collectively) of not less than ten million dollars (US$10,000,000); (e) The failure of a Party to provide the other Party with Credit Assurance pursuant Section 10.1 hereof; or (f) The making of a materially incorrect or misleading representation or warranty hereunder.</w:t>
      </w:r>
    </w:p>
    <w:p>
      <w:pPr>
        <w:pStyle w:val="Normal"/>
        <w:numPr>
          <w:ilvl w:val="1"/>
          <w:numId w:val="2"/>
        </w:numPr>
        <w:suppressAutoHyphens w:val="true"/>
        <w:spacing w:before="0" w:after="240"/>
        <w:jc w:val="both"/>
        <w:rPr>
          <w:sz w:val="22"/>
        </w:rPr>
      </w:pPr>
      <w:r>
        <w:rPr>
          <w:sz w:val="22"/>
        </w:rPr>
        <w:t>“</w:t>
      </w:r>
      <w:r>
        <w:rPr>
          <w:sz w:val="22"/>
        </w:rPr>
        <w:t>MSDW” means Morgan Stanley Dean Witter &amp; Co. or any successors thereto.</w:t>
      </w:r>
    </w:p>
    <w:p>
      <w:pPr>
        <w:pStyle w:val="Normal"/>
        <w:numPr>
          <w:ilvl w:val="1"/>
          <w:numId w:val="2"/>
        </w:numPr>
        <w:suppressAutoHyphens w:val="true"/>
        <w:spacing w:before="0" w:after="240"/>
        <w:jc w:val="both"/>
        <w:rPr>
          <w:sz w:val="22"/>
        </w:rPr>
      </w:pPr>
      <w:r>
        <w:rPr>
          <w:sz w:val="22"/>
        </w:rPr>
        <w:t>“</w:t>
      </w:r>
      <w:r>
        <w:rPr>
          <w:sz w:val="22"/>
        </w:rPr>
        <w:t>Option” means a Transaction which gives the Buyer the right, but not the obligation, to purchase or sell Gas in consideration of the payment of a premium.</w:t>
      </w:r>
    </w:p>
    <w:p>
      <w:pPr>
        <w:pStyle w:val="Normal"/>
        <w:numPr>
          <w:ilvl w:val="1"/>
          <w:numId w:val="2"/>
        </w:numPr>
        <w:suppressAutoHyphens w:val="true"/>
        <w:spacing w:before="0" w:after="240"/>
        <w:jc w:val="both"/>
        <w:rPr>
          <w:sz w:val="22"/>
        </w:rPr>
      </w:pPr>
      <w:r>
        <w:rPr>
          <w:sz w:val="22"/>
        </w:rPr>
        <w:t>“</w:t>
      </w:r>
      <w:r>
        <w:rPr>
          <w:sz w:val="22"/>
        </w:rPr>
        <w:t>Settlement Risk Limit” means the credit risk line applicable to a Party, from time to time, for the purpose of controlling the risk that upon making a delivery a Party does not receive from the other Party the corresponding payment in a Transaction.</w:t>
      </w:r>
    </w:p>
    <w:p>
      <w:pPr>
        <w:pStyle w:val="Normal"/>
        <w:numPr>
          <w:ilvl w:val="1"/>
          <w:numId w:val="2"/>
        </w:numPr>
        <w:suppressAutoHyphens w:val="true"/>
        <w:spacing w:before="0" w:after="240"/>
        <w:jc w:val="both"/>
        <w:rPr>
          <w:sz w:val="22"/>
        </w:rPr>
      </w:pPr>
      <w:r>
        <w:rPr>
          <w:sz w:val="22"/>
        </w:rPr>
        <w:t>“</w:t>
      </w:r>
      <w:r>
        <w:rPr>
          <w:sz w:val="22"/>
        </w:rPr>
        <w:t>Specified Agreement” means any contract or transaction, including an agreement with respect thereto (whether or not documented under or effected pursuant to a master agreement), now existing or hereafter entered into between one Party (or any guarantor of such Party or any Affiliate of such Party) and the other Party (or any guarantor of such Party or any Affiliate of such Party).</w:t>
      </w:r>
    </w:p>
    <w:p>
      <w:pPr>
        <w:pStyle w:val="Normal"/>
        <w:numPr>
          <w:ilvl w:val="1"/>
          <w:numId w:val="2"/>
        </w:numPr>
        <w:suppressAutoHyphens w:val="true"/>
        <w:spacing w:before="0" w:after="240"/>
        <w:jc w:val="both"/>
        <w:rPr>
          <w:sz w:val="22"/>
        </w:rPr>
      </w:pPr>
      <w:r>
        <w:rPr>
          <w:sz w:val="22"/>
        </w:rPr>
        <w:t>“</w:t>
      </w:r>
      <w:r>
        <w:rPr>
          <w:sz w:val="22"/>
        </w:rPr>
        <w:t>Transaction” means a specific sale and purchase, or an Option for sale and purchase, of Gas to be supplied by one Party to the other Party.</w:t>
      </w:r>
    </w:p>
    <w:p>
      <w:pPr>
        <w:pStyle w:val="Normal"/>
        <w:suppressAutoHyphens w:val="true"/>
        <w:spacing w:before="0" w:after="240"/>
        <w:jc w:val="both"/>
        <w:rPr>
          <w:sz w:val="22"/>
          <w:u w:val="single"/>
        </w:rPr>
      </w:pPr>
      <w:r>
        <w:rPr>
          <w:sz w:val="22"/>
          <w:u w:val="single"/>
        </w:rPr>
        <w:t>Amendments To Section 6.  Taxes</w:t>
      </w:r>
    </w:p>
    <w:p>
      <w:pPr>
        <w:pStyle w:val="Normal"/>
        <w:suppressAutoHyphens w:val="true"/>
        <w:spacing w:before="0" w:after="240"/>
        <w:jc w:val="both"/>
        <w:rPr>
          <w:sz w:val="22"/>
        </w:rPr>
      </w:pPr>
      <w:r>
        <w:rPr>
          <w:sz w:val="22"/>
        </w:rPr>
        <w:t>The definition of "Taxes" shall include the Canadian Goods and Services Tax ("GST"), if applicable, as imposed pursuant to the Excise Act of Canada, as amended from time to time.</w:t>
      </w:r>
    </w:p>
    <w:p>
      <w:pPr>
        <w:pStyle w:val="BodyText"/>
        <w:keepNext w:val="true"/>
        <w:spacing w:before="0" w:after="240"/>
        <w:jc w:val="both"/>
        <w:rPr>
          <w:sz w:val="22"/>
        </w:rPr>
      </w:pPr>
      <w:r>
        <w:rPr>
          <w:sz w:val="22"/>
          <w:u w:val="single"/>
        </w:rPr>
        <w:t>Amendments To Section 7.  Billing, Payment And Audit</w:t>
      </w:r>
    </w:p>
    <w:p>
      <w:pPr>
        <w:pStyle w:val="BodyText"/>
        <w:keepNext w:val="true"/>
        <w:spacing w:before="0" w:after="240"/>
        <w:jc w:val="both"/>
        <w:rPr/>
      </w:pPr>
      <w:r>
        <w:rPr>
          <w:sz w:val="22"/>
        </w:rPr>
        <w:t>Section 7.1 is amended by inserting the words “On or before the 15</w:t>
      </w:r>
      <w:r>
        <w:rPr>
          <w:sz w:val="22"/>
          <w:vertAlign w:val="superscript"/>
        </w:rPr>
        <w:t>th</w:t>
      </w:r>
      <w:r>
        <w:rPr>
          <w:sz w:val="22"/>
        </w:rPr>
        <w:t xml:space="preserve"> calendar day of the month,” at the beginning of the first sentence thereof.</w:t>
      </w:r>
    </w:p>
    <w:p>
      <w:pPr>
        <w:pStyle w:val="BodyText2"/>
        <w:spacing w:before="0" w:after="240"/>
        <w:ind w:start="0" w:end="0"/>
        <w:rPr>
          <w:sz w:val="22"/>
        </w:rPr>
      </w:pPr>
      <w:r>
        <w:rPr>
          <w:sz w:val="22"/>
        </w:rPr>
        <w:t>Section 7.4 is amended by inserting the words "copies of the relevant portions of" between the words "to examine" and the words "the books and records" in the first sentence.</w:t>
      </w:r>
    </w:p>
    <w:p>
      <w:pPr>
        <w:pStyle w:val="BodyText2"/>
        <w:spacing w:before="0" w:after="240"/>
        <w:ind w:start="0" w:end="0"/>
        <w:rPr>
          <w:sz w:val="22"/>
        </w:rPr>
      </w:pPr>
      <w:r>
        <w:rPr>
          <w:sz w:val="22"/>
        </w:rPr>
        <w:t>Section 7 is amended by inserting the following new Sections at the end thereof:</w:t>
      </w:r>
    </w:p>
    <w:p>
      <w:pPr>
        <w:pStyle w:val="BodyText2"/>
        <w:numPr>
          <w:ilvl w:val="0"/>
          <w:numId w:val="0"/>
        </w:numPr>
        <w:spacing w:before="0" w:after="240"/>
        <w:ind w:hanging="720" w:start="720" w:end="0"/>
        <w:rPr>
          <w:sz w:val="22"/>
        </w:rPr>
      </w:pPr>
      <w:r>
        <w:rPr>
          <w:sz w:val="22"/>
        </w:rPr>
        <w:t>7.5</w:t>
        <w:tab/>
        <w:t>Notwithstanding the other provisions of this Section 7, if payments of amounts are due from both Parties on the same day in respect of two or more Transactions, the Parties shall satisfy their respective payment obligations to each other by netting the aggregate amounts due to one Party against the aggregate amounts due to the other Party, and the Party, if any, owing the greater aggregate amount shall pay to the other Party the difference between the amounts owed.</w:t>
      </w:r>
    </w:p>
    <w:p>
      <w:pPr>
        <w:pStyle w:val="BodyText2"/>
        <w:numPr>
          <w:ilvl w:val="0"/>
          <w:numId w:val="0"/>
        </w:numPr>
        <w:spacing w:before="0" w:after="240"/>
        <w:ind w:hanging="720" w:start="720" w:end="0"/>
        <w:rPr>
          <w:sz w:val="22"/>
        </w:rPr>
      </w:pPr>
      <w:r>
        <w:rPr>
          <w:sz w:val="22"/>
        </w:rPr>
        <w:t>7.6</w:t>
        <w:tab/>
        <w:t>For the purposes of disclosure pursuant to the Interest Act (Canada), the annual rate of interest which is the equivalent to any rate of interest provided for in this Agreement which is to be calculated on any basis other than a full calendar year, may be determined by multiplying such rate of interest (expressed as a percentage) by a fraction, the numerator of which is the number of days in the calendar year commencing on the first day of the period for which interest at such rate is payable to the end thereof and the denominator of which is the number of days comprising such other basis.  Nothing in this Agreement should be construed as obliging the borrower to pay any “interest” in excess of the “criminal rate” as such terms are defined in the Criminal Code of Canada.</w:t>
      </w:r>
    </w:p>
    <w:p>
      <w:pPr>
        <w:pStyle w:val="BodyText"/>
        <w:keepNext w:val="true"/>
        <w:spacing w:before="0" w:after="240"/>
        <w:jc w:val="both"/>
        <w:rPr>
          <w:sz w:val="22"/>
          <w:u w:val="single"/>
        </w:rPr>
      </w:pPr>
      <w:r>
        <w:rPr>
          <w:sz w:val="22"/>
          <w:u w:val="single"/>
        </w:rPr>
        <w:t>Amendments To Section 8.  Title, Warranty And Indemnity</w:t>
      </w:r>
    </w:p>
    <w:p>
      <w:pPr>
        <w:pStyle w:val="Normal"/>
        <w:spacing w:before="0" w:after="240"/>
        <w:rPr>
          <w:sz w:val="22"/>
        </w:rPr>
      </w:pPr>
      <w:r>
        <w:rPr>
          <w:sz w:val="22"/>
        </w:rPr>
        <w:t>Section 8 is amended by inserting the following new Sections at the end thereof:</w:t>
      </w:r>
    </w:p>
    <w:p>
      <w:pPr>
        <w:pStyle w:val="BodyTextIndent3"/>
        <w:tabs>
          <w:tab w:val="clear" w:pos="720"/>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240"/>
        <w:ind w:hanging="720" w:end="0"/>
        <w:rPr/>
      </w:pPr>
      <w:r>
        <w:rPr/>
        <w:t>8.5</w:t>
        <w:tab/>
        <w:t xml:space="preserve">Each Party represents and warrants to the other Party, as of the date of the Base Contract and these Special Provisions (collectively this “Agreement”), of each Transaction hereunder, and of the Transaction Confirmation therefor, and of each delivery of Gas in connection with such Transaction, that: (i) It is duly organized and validly existing under the laws of the jurisdiction of its organization or incorporation and, if relevant under such laws, in good standing; (ii) It has the corporate, governmental and/or other legal capacity, authority and power to execute, deliver, and perform its obligations under this Agreement and any Transaction Confirmation or other document relating hereto to which it is a party, and to enter into any Transaction pursuant to this Agreement, and has taken all necessary action to authorize such execution, delivery and performance; (iii) Such execution, delivery and performance does not violate or conflict with any law, rule, or regulation applicable to it, any provision of its constitutional documents, any order or judgment of any court or other agency of government applicable to it or any of its assets, or any contractual restriction binding on or affecting it or any of its assets; (iv) All governmental and other authorizations, approvals, consents, notices and filings ("authorizations") that are required to have been obtained or submitted by it with respect to this Agreement or other document relating hereto and in respect of any Transaction to which it is a party have been obtained or submitted and are in full force and effect, and all conditions of any such authorizations have been complied with, and each Party further warrants that it has and will maintain all  regulatory authorizations, certificates, and documentation as may be necessary and legally required to transport, buy or make sales for resale of Gas sold or purchased hereunder; (v) Its obligations under this Agreement and any other document relating hereto and in respect of any Transaction to which it is a party constitute its legal, valid and binding obligations, enforceable in accordance with their respective terms (subject to applicable bankruptcy, reorganization, insolvency, moratorium or similar laws affecting creditors’ rights generally and subject, as to enforceability, to the fact that judgments awarded by Canadian courts may only be in Canadian dollars); (vi) It is a "Qualified Party" within the meaning of paragraph 9.1 of Alberta Securities Commission Order Doc. #394043 and paragraph 1.1 of the British Columbia Securities Commission Blanket Order BOR#91-501, in either case, as amended, restated, replaced or re-enacted from time to time; (vii) No Event of Default with respect to it, or event which with notice and/or lapse of time would constitute such an Event of Default, has occurred and is continuing and no such event would occur as a result of its entering into or performing its obligations under this Agreement; (viii) There is not pending or, to its knowledge, threatened against it or any of its Affiliates any action, suit or proceeding at law or in equity or before any court, governmental body or official or any arbitrator that is likely to affect the legality, validity or enforceability against it of this Agreement or any Transaction to which it is a party or its ability to perform its obligations under the same; (ix) It has entered into the Agreement and each Transaction and Transaction Confirmation thereof in connection with the conduct of its business and it has the ability to make or take delivery of Gas; (x) It has total assets exceeding $10 million, </w:t>
      </w:r>
      <w:r>
        <w:rPr>
          <w:u w:val="single"/>
        </w:rPr>
        <w:t>or</w:t>
      </w:r>
      <w:r>
        <w:rPr/>
        <w:t xml:space="preserve"> has a net worth exceeding $1 million and enters into the Transaction in connection with the conduct of its business or to manage the risk associated with an asset or liability actually or reasonably likely to be owned or incurred by it in the conduct of its business, </w:t>
      </w:r>
      <w:r>
        <w:rPr>
          <w:u w:val="single"/>
        </w:rPr>
        <w:t>or</w:t>
      </w:r>
      <w:r>
        <w:rPr/>
        <w:t xml:space="preserve"> is otherwise an "Eligible Contract Participant" as defined in Section 1a(12) of the Commodity Exchange Act, as amended, 7 U.S.C. § 1(12); (xi) With respect to each Transaction involving the purchase or sale of an Option, it is a producer, processor, commercial user, or merchant handling Gas or its byproducts, and it is entering into such Transaction for purposes related to its business; (xii) It is not relying upon any representations of the other Party, other than those expressly set forth in this Agreement, any Transaction Confirmation or any written guarantee of the obligations of the other Party; and (xiii) It has entered into this Agreement and each Transaction and Transaction Confirmation thereof as principal (and not as advisor, agent, broker or in any other capacity, fiduciary or otherwise), with a full understanding of, and the capability to assume, the material risks of the same, and based upon its own judgment and any advice from such advisors as it has deemed necessary and not in reliance upon any view expressed by the other Party.</w:t>
      </w:r>
    </w:p>
    <w:p>
      <w:pPr>
        <w:pStyle w:val="Normal"/>
        <w:ind w:hanging="720" w:start="720" w:end="0"/>
        <w:jc w:val="both"/>
        <w:rPr>
          <w:spacing w:val="-2"/>
          <w:sz w:val="22"/>
        </w:rPr>
      </w:pPr>
      <w:r>
        <w:rPr>
          <w:spacing w:val="-2"/>
          <w:sz w:val="22"/>
        </w:rPr>
        <w:t>8.6</w:t>
        <w:tab/>
        <w:t>ALL OTHER WARRANTIES, EXPRESS OR IMPLIED, INCLUDING ANY WARRANTY OF MERCHANTABILITY OR OF FITNESS FOR A PARTICULAR PURPOSE, ARE DISCLAIMED.</w:t>
      </w:r>
    </w:p>
    <w:p>
      <w:pPr>
        <w:pStyle w:val="BodyText"/>
        <w:keepNext w:val="true"/>
        <w:spacing w:before="0" w:after="240"/>
        <w:jc w:val="both"/>
        <w:rPr>
          <w:spacing w:val="-2"/>
          <w:sz w:val="22"/>
          <w:u w:val="single"/>
        </w:rPr>
      </w:pPr>
      <w:r>
        <w:rPr>
          <w:spacing w:val="-2"/>
          <w:sz w:val="22"/>
          <w:u w:val="single"/>
        </w:rPr>
      </w:r>
    </w:p>
    <w:p>
      <w:pPr>
        <w:pStyle w:val="BodyText"/>
        <w:keepNext w:val="true"/>
        <w:spacing w:before="0" w:after="240"/>
        <w:jc w:val="both"/>
        <w:rPr>
          <w:sz w:val="22"/>
          <w:u w:val="single"/>
        </w:rPr>
      </w:pPr>
      <w:r>
        <w:rPr>
          <w:sz w:val="22"/>
          <w:u w:val="single"/>
        </w:rPr>
        <w:t>Amendments To Section 10.  Financial Responsibility</w:t>
      </w:r>
    </w:p>
    <w:p>
      <w:pPr>
        <w:pStyle w:val="BodyText2"/>
        <w:spacing w:before="0" w:after="240"/>
        <w:ind w:start="0" w:end="0"/>
        <w:rPr>
          <w:sz w:val="22"/>
        </w:rPr>
      </w:pPr>
      <w:r>
        <w:rPr>
          <w:sz w:val="22"/>
        </w:rPr>
        <w:t>Section 10 is deleted in its entirety and the following new Section 10 is inserted in its place:</w:t>
      </w:r>
    </w:p>
    <w:p>
      <w:pPr>
        <w:pStyle w:val="BodyText2"/>
        <w:spacing w:before="0" w:after="240"/>
        <w:rPr>
          <w:sz w:val="22"/>
          <w:u w:val="single"/>
        </w:rPr>
      </w:pPr>
      <w:r>
        <w:rPr>
          <w:sz w:val="22"/>
          <w:u w:val="single"/>
        </w:rPr>
        <w:t>Section 10.  Financial Responsibility And Nonperformance</w:t>
      </w:r>
    </w:p>
    <w:p>
      <w:pPr>
        <w:pStyle w:val="Normal"/>
        <w:numPr>
          <w:ilvl w:val="1"/>
          <w:numId w:val="3"/>
        </w:numPr>
        <w:suppressAutoHyphens w:val="true"/>
        <w:spacing w:before="0" w:after="240"/>
        <w:jc w:val="both"/>
        <w:rPr>
          <w:sz w:val="22"/>
        </w:rPr>
      </w:pPr>
      <w:r>
        <w:rPr>
          <w:sz w:val="22"/>
          <w:u w:val="single"/>
        </w:rPr>
        <w:t>Credit Assurance</w:t>
      </w:r>
      <w:r>
        <w:rPr>
          <w:sz w:val="22"/>
        </w:rPr>
        <w:t>.  A Party (the “Requesting Party”) may request that the other Party (the “Posting Party”) provide the Requesting Party with Credit Assurance if at any time: (a) the Posting Party exceeds its Settlement Risk Limit; or (b) the Requesting Party has reasonable grounds for insecurity concerning the Posting Party’s ability to perform any of its obligations hereunder.  If the Posting Party fails to provide Credit Assurance within two (2) Business Days of said request, then the Requesting Party may, in its sole discretion, withhold or suspend its obligations under this Agreement and under any Transaction.  If the Posting Party fails to provide such Credit Assurance within two (2) Business Days of a written demand therefor, then the Requesting Party may declare such failure an Event of Default and exercise any or all other remedies available hereunder or pursuant to law.</w:t>
      </w:r>
    </w:p>
    <w:p>
      <w:pPr>
        <w:pStyle w:val="Normal"/>
        <w:numPr>
          <w:ilvl w:val="1"/>
          <w:numId w:val="3"/>
        </w:numPr>
        <w:suppressAutoHyphens w:val="true"/>
        <w:spacing w:before="0" w:after="240"/>
        <w:jc w:val="both"/>
        <w:rPr>
          <w:spacing w:val="-2"/>
          <w:sz w:val="22"/>
        </w:rPr>
      </w:pPr>
      <w:r>
        <w:rPr>
          <w:sz w:val="22"/>
          <w:u w:val="single"/>
        </w:rPr>
        <w:t>Insecurity</w:t>
      </w:r>
      <w:r>
        <w:rPr>
          <w:sz w:val="22"/>
        </w:rPr>
        <w:t xml:space="preserve">.  For purposes of this Article 10: (a) Counterparty shall be deemed to have “reasonable grounds for insecurity” only if there has been a decrease in the rating of the long-term unsecured, unsubordinated debt of MSDW below BBB- or Baa3 by Standard &amp; Poor’s Rating Group (“S&amp;P’s”) or Moody’s Investors Services, Inc. (“Moody’s”), respectively; and (b) if the long-term unsecured, unsubordinated debt of Counterparty or of any of its Guarantor(s) is rated by S&amp;P’s or Moody’s, then MSCG shall be deemed to have “reasonable grounds for insecurity” only if there has been a decrease in the rating of any of such long-term unsecured, unsubordinated debt below BBB- or Baa3 by S&amp;P’s or Moody’s, respectively.  If, as of the Effective Date or the date of the first Transaction between the Parties, whichever is earlier, the long-term unsecured, unsubordinated debt of a Party, or any of its Guarantor(s), is rated below the level specified in this Section, then the Requesting Party has reasonable grounds for insecurity whenever such grounds exist under N.Y. U.C.C. § 2-609 and may exercise any or all remedies available hereunder or pursuant to law. </w:t>
      </w:r>
    </w:p>
    <w:p>
      <w:pPr>
        <w:pStyle w:val="WW-BodyText2"/>
        <w:tabs>
          <w:tab w:val="clear" w:pos="720"/>
          <w:tab w:val="clear" w:pos="144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40" w:leader="none"/>
          <w:tab w:val="left" w:pos="-720" w:leader="none"/>
        </w:tabs>
        <w:spacing w:before="0" w:after="240"/>
        <w:ind w:hanging="720" w:end="0"/>
        <w:rPr/>
      </w:pPr>
      <w:r>
        <w:rPr>
          <w:sz w:val="22"/>
        </w:rPr>
        <w:t>10.3</w:t>
        <w:tab/>
      </w:r>
      <w:r>
        <w:rPr>
          <w:sz w:val="22"/>
          <w:u w:val="single"/>
        </w:rPr>
        <w:t>Remedies for Default</w:t>
      </w:r>
      <w:r>
        <w:rPr>
          <w:sz w:val="22"/>
        </w:rPr>
        <w:t xml:space="preserve">.  If any Event of Default shall have occurred and be continuing with respect to a Party or its guarantor (the "Defaulting Party"), then the other Party (the “Performing Party”) shall have the right to do one or more of the following: (a) withhold any payments due to the Defaulting Party under this Agreement; (b) suspend performance due to the Defaulting Party under this Agreement; and/or (c) by giving not more than twenty (20) days notice, designate a day not earlier than the day such notice is effective (the "Early Termination Date") as a date for the termination and liquidation of all outstanding transactions.  If, however, "Automatic Early Termination" is specified herein as applying to a Party, then if such Party is the Defaulting Party an Early Termination Date in respect of all outstanding transactions shall occur immediately upon the occurrence with respect to the Defaulting Party of an Event of Default specified in the following clauses of the definition of "Bankrupt:" (i), (iii), (v), (vi) or, to the extent analogous thereto, clause (viii), and as of the time immediately preceding the institution of the relevant proceeding or the presentation of the relevant petition upon the occurrence with respect to the Defaulting Party of an Event of Default specified in clause (iv) or, to the extent analogous thereto, clause (viii).  Upon the occurrence of an Early Termination Date, the Performing Party shall close out, liquidate, and terminate each outstanding Transaction between the Parties by calculating a Settlement Payment (as defined below) for each such Transaction payable to one Party from the other, as appropriate, and to calculate any Breakage Costs (as defined below) incurred by the Performing Party.  If an Early Termination Date occurs as a result of Automatic Early Termination, the Defaulting Party shall fully indemnify the Performing Party on demand against all expense, loss, damage or liability that the Performing Party may incur in respect of this Agreement and each transaction as a consequence of movements in commodity, exchange or other relevant rates or prices or Breakage Costs between the Early Termination Date and the Business Day on which the Performing Party first becomes aware that the Early Termination Date has occurred.  The Performing Party shall net: (a) all such Settlement Payments against each other; (b) any or all Breakage Costs; (c) any or all other amounts currently due and owing between the Parties under any Transaction, this Agreement, or any Specified Agreement; and (d) all collateral held by either Party to secure the obligations of the other Party; so that all such amounts shall be aggregated and/or netted to a single liquidated amount payable within one (1) Business Day by the Party owing the greater such amount to the other Party.  </w:t>
      </w:r>
    </w:p>
    <w:p>
      <w:pPr>
        <w:pStyle w:val="WW-BodyText2"/>
        <w:tabs>
          <w:tab w:val="clear" w:pos="720"/>
          <w:tab w:val="clear" w:pos="144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40" w:leader="none"/>
          <w:tab w:val="left" w:pos="-720" w:leader="none"/>
        </w:tabs>
        <w:spacing w:before="0" w:after="240"/>
        <w:ind w:hanging="720" w:end="0"/>
        <w:rPr/>
      </w:pPr>
      <w:r>
        <w:rPr>
          <w:sz w:val="22"/>
        </w:rPr>
        <w:t>10.4</w:t>
        <w:tab/>
      </w:r>
      <w:r>
        <w:rPr>
          <w:sz w:val="22"/>
          <w:u w:val="single"/>
        </w:rPr>
        <w:t>Setoff</w:t>
      </w:r>
      <w:r>
        <w:rPr>
          <w:sz w:val="22"/>
        </w:rPr>
        <w:t xml:space="preserve">.  If the Performing Party owes an amount to the Defaulting Party pursuant to Section 10.3, then, at its election and without prior notice to the Defaulting Party, it (and/or its Affiliates) may set off any or all of such amount against any or all amounts payable (whether according to their terms such amounts are due at such time, in the future or upon the occurrence of a contingency) by the Defaulting Party to the Performing Party (and/or its Affiliates) under any Specified Agreement.  If such an obligation is unascertained, the Performing Party may in good faith estimate that obligation and set-off in respect of that estimate, subject to an accounting to the Defaulting Party when the obligation is ascertained.  Nothing in this Section 10.4 shall be effective to create a charge or other security interest.  The Performing Party’s rights under Sections 10.3 and 10.4 shall be in addition to, and not in limitation or exclusion of, any other rights which the Performing Party may have (whether by agreement, operation of law, or otherwise).  </w:t>
      </w:r>
    </w:p>
    <w:p>
      <w:pPr>
        <w:pStyle w:val="WW-BodyText2"/>
        <w:tabs>
          <w:tab w:val="clear" w:pos="720"/>
          <w:tab w:val="clear" w:pos="144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40" w:leader="none"/>
          <w:tab w:val="left" w:pos="-720" w:leader="none"/>
        </w:tabs>
        <w:spacing w:before="0" w:after="240"/>
        <w:ind w:hanging="720" w:end="0"/>
        <w:rPr>
          <w:sz w:val="22"/>
        </w:rPr>
      </w:pPr>
      <w:r>
        <w:rPr>
          <w:sz w:val="22"/>
        </w:rPr>
        <w:t>10.5</w:t>
        <w:tab/>
        <w:t xml:space="preserve">For the purpose of this Agreement, “Settlement Payment” means with respect to a Transaction, an amount equal to the present value of the economic losses and gains (in US dollars) to the Party entitled to receive compensation for the early termination thereof, determined by the Performing Party in any commercially reasonable manner as of the relevant Early Termination Date, or if that is not reasonably practicable, as of the earliest date thereafter that is reasonably practicable.  The Performing Party shall not be obligated to actually enter into replacement transactions to determine any market values in calculating such amounts.  “Breakage Costs” means all costs and losses which the Performing Party may incur as a result of its terminating and liquidating this Transaction and any Specified Agreement under this non-performance clause, including without limitation, attorneys fees, and costs and losses incurred in maintaining, terminating and/or re-establishing any hedge or related trading positions, except for amounts already included in the Settlement Payment for such transaction.  </w:t>
      </w:r>
    </w:p>
    <w:p>
      <w:pPr>
        <w:pStyle w:val="WW-BodyText2"/>
        <w:tabs>
          <w:tab w:val="clear" w:pos="720"/>
          <w:tab w:val="clear" w:pos="144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440" w:leader="none"/>
          <w:tab w:val="left" w:pos="-720" w:leader="none"/>
        </w:tabs>
        <w:spacing w:before="0" w:after="240"/>
        <w:ind w:hanging="720" w:end="0"/>
        <w:rPr>
          <w:sz w:val="22"/>
        </w:rPr>
      </w:pPr>
      <w:r>
        <w:rPr>
          <w:sz w:val="22"/>
        </w:rPr>
        <w:t>10.6</w:t>
        <w:tab/>
        <w:t>NOTWITHSTANDING THE FOREGOING, NEITHER PARTY SHALL BE LIABLE TO THE OTHER PARTY UNDER THIS OR ANY SPECIFIED AGREEMENT FOR CONSEQUENTIAL, INDIRECT, INCIDENTAL, SPECIAL, PUNITIVE, OR EXEMPLARY DAMAGES, INCLUDING WITHOUT LIMITATION LOSS OF PROFITS OR REVENUE OR THE LOSS OF USE OF EITHER, COSTS OF REPLACEMENT GAS OR OF CAPITAL, OR CLAIMS OF CUSTOMERS OF THE OTHER PARTY RELATING TO LOSS OF GAS SUPPLY, EXCEPT AS EXPRESSLY PROVIDED IN THE BASE CONTRACT OR THE SPECIAL PROVISIONS.</w:t>
      </w:r>
    </w:p>
    <w:p>
      <w:pPr>
        <w:pStyle w:val="BodyText"/>
        <w:keepNext w:val="true"/>
        <w:spacing w:before="0" w:after="240"/>
        <w:jc w:val="both"/>
        <w:rPr>
          <w:sz w:val="22"/>
          <w:u w:val="single"/>
        </w:rPr>
      </w:pPr>
      <w:r>
        <w:rPr>
          <w:sz w:val="22"/>
          <w:u w:val="single"/>
        </w:rPr>
        <w:t>Amendments To Section 11.  Force Majeure</w:t>
      </w:r>
    </w:p>
    <w:p>
      <w:pPr>
        <w:pStyle w:val="BodyText2"/>
        <w:spacing w:before="0" w:after="240"/>
        <w:ind w:start="0" w:end="0"/>
        <w:rPr>
          <w:sz w:val="22"/>
        </w:rPr>
      </w:pPr>
      <w:r>
        <w:rPr>
          <w:sz w:val="22"/>
        </w:rPr>
        <w:t>Section 11.3 is deleting in its entirety and replaced by the following new Section 11.3:</w:t>
      </w:r>
    </w:p>
    <w:p>
      <w:pPr>
        <w:pStyle w:val="BodyText2"/>
        <w:spacing w:before="0" w:after="240"/>
        <w:ind w:hanging="720" w:end="0"/>
        <w:rPr>
          <w:color w:val="000000"/>
          <w:sz w:val="22"/>
        </w:rPr>
      </w:pPr>
      <w:r>
        <w:rPr>
          <w:color w:val="000000"/>
          <w:sz w:val="22"/>
        </w:rPr>
        <w:t xml:space="preserve"> </w:t>
      </w:r>
      <w:r>
        <w:rPr>
          <w:sz w:val="22"/>
        </w:rPr>
        <w:t>11.3</w:t>
        <w:tab/>
        <w:t>Force Majeure specifically excludes: the loss, interruption, or curtailment of Interruptible transportation, on any Transporter necessary to effect receipt or delivery of Gas hereunder, unless the same event also curtails Firm transportation, and then only to the extent of such curtailment on the affected pipeline segment; increases or decreases in natural gas supply due to allocation or reallocation of production by producers, well operators, or other parties controlling production or well operation (except for an allocation or reallocation of production pursuant to a governmental order); the loss of Buyer’s markets or Buyer’s inability economically to use or resell Gas purchased hereunder; Seller’s ability to sell Gas to a market at a more advantageous price; failure of specific, individual wells or appurtenant facilities in the absence of a force majeure event broadly affecting other wells in the same geographic area; and regulatory disallowance of the passthrough of the costs of natural gas or other related costs.</w:t>
      </w:r>
    </w:p>
    <w:p>
      <w:pPr>
        <w:pStyle w:val="BodyText2"/>
        <w:spacing w:before="0" w:after="240"/>
        <w:ind w:start="0" w:end="0"/>
        <w:rPr>
          <w:sz w:val="22"/>
        </w:rPr>
      </w:pPr>
      <w:r>
        <w:rPr>
          <w:sz w:val="22"/>
        </w:rPr>
        <w:t>Section 11.5 is amended by inserting the following between the second and third sentences:</w:t>
      </w:r>
    </w:p>
    <w:p>
      <w:pPr>
        <w:pStyle w:val="BodyText2"/>
        <w:spacing w:before="0" w:after="240"/>
        <w:rPr>
          <w:sz w:val="22"/>
        </w:rPr>
      </w:pPr>
      <w:r>
        <w:rPr>
          <w:sz w:val="22"/>
        </w:rPr>
        <w:t>The Party receiving such written notice of Force Majeure shall have until the end of the next Business Day to notify the Party claiming Force Majeure that it objects to or disputes the existence of an event of Force Majeure.</w:t>
      </w:r>
    </w:p>
    <w:p>
      <w:pPr>
        <w:pStyle w:val="BodyText"/>
        <w:keepNext w:val="true"/>
        <w:spacing w:before="0" w:after="240"/>
        <w:jc w:val="both"/>
        <w:rPr>
          <w:sz w:val="22"/>
          <w:u w:val="single"/>
        </w:rPr>
      </w:pPr>
      <w:r>
        <w:rPr>
          <w:sz w:val="22"/>
          <w:u w:val="single"/>
        </w:rPr>
        <w:t>Amendments To Section 13.  Miscellaneous</w:t>
      </w:r>
    </w:p>
    <w:p>
      <w:pPr>
        <w:pStyle w:val="BodyText2"/>
        <w:keepNext w:val="true"/>
        <w:spacing w:before="0" w:after="240"/>
        <w:ind w:start="0" w:end="0"/>
        <w:rPr>
          <w:sz w:val="22"/>
        </w:rPr>
      </w:pPr>
      <w:r>
        <w:rPr>
          <w:sz w:val="22"/>
        </w:rPr>
        <w:t>Section 13.5 is amended by inserting the following at the end thereof:</w:t>
      </w:r>
    </w:p>
    <w:p>
      <w:pPr>
        <w:pStyle w:val="BodyTextIndent2"/>
        <w:spacing w:before="0" w:after="240"/>
        <w:rPr>
          <w:sz w:val="22"/>
        </w:rPr>
      </w:pPr>
      <w:r>
        <w:rPr>
          <w:sz w:val="22"/>
        </w:rPr>
        <w:t>Each Party expressly submits to the exclusive jurisdiction of the state courts of the state chosen by the parties and the federal courts therein.  Each Party irrevocably waives to the fullest extent permitted by law and agrees not to make any objection which it may now or hereafter have to the jurisdiction of any such court or to venue therein, or any claim of inconvenient forum of such court or any claim of sovereign immunity.  Each Party waives, to the fullest extent permitted by applicable law, any right it may have to a trial by jury in respect of any proceedings relating to these Special Provisions, the Base Contract or any Transaction thereunder.</w:t>
      </w:r>
    </w:p>
    <w:p>
      <w:pPr>
        <w:pStyle w:val="BodyTextIndent2"/>
        <w:spacing w:before="0" w:after="240"/>
        <w:ind w:start="0" w:end="0"/>
        <w:rPr>
          <w:sz w:val="22"/>
        </w:rPr>
      </w:pPr>
      <w:r>
        <w:rPr>
          <w:sz w:val="22"/>
        </w:rPr>
        <w:t>New Section 13.9 is added:</w:t>
      </w:r>
    </w:p>
    <w:p>
      <w:pPr>
        <w:pStyle w:val="BodyTextIndent2"/>
        <w:spacing w:before="0" w:after="240"/>
        <w:ind w:hanging="720" w:end="0"/>
        <w:rPr>
          <w:sz w:val="22"/>
        </w:rPr>
      </w:pPr>
      <w:r>
        <w:rPr>
          <w:sz w:val="22"/>
        </w:rPr>
        <w:tab/>
        <w:t>Each Party consents to, and agrees (to the extent required by law) to obtain the consent of its employees to, the recording of telephone conversations between the Parties regarding a proposed or concluded transaction.</w:t>
      </w:r>
      <w:r>
        <w:br w:type="page"/>
      </w:r>
    </w:p>
    <w:p>
      <w:pPr>
        <w:pStyle w:val="BodyTextIndent2"/>
        <w:spacing w:before="0" w:after="240"/>
        <w:ind w:hanging="720" w:end="0"/>
        <w:rPr>
          <w:sz w:val="22"/>
        </w:rPr>
      </w:pPr>
      <w:r>
        <w:rPr>
          <w:sz w:val="22"/>
        </w:rPr>
      </w:r>
    </w:p>
    <w:p>
      <w:pPr>
        <w:pStyle w:val="BodyText2"/>
        <w:spacing w:before="0" w:after="240"/>
        <w:ind w:firstLine="720" w:start="0" w:end="0"/>
        <w:rPr>
          <w:sz w:val="22"/>
        </w:rPr>
      </w:pPr>
      <w:r>
        <w:rPr>
          <w:sz w:val="22"/>
        </w:rPr>
        <w:t>IN WITNESS WHEREOF, the Parties have executed this agreement on Special Provisions to supplement and, where applicable, to modify and supersede the Base Contract by and between the Parties.</w:t>
      </w:r>
    </w:p>
    <w:tbl>
      <w:tblPr>
        <w:tblW w:w="9738" w:type="dxa"/>
        <w:jc w:val="start"/>
        <w:tblInd w:w="0" w:type="dxa"/>
        <w:tblLayout w:type="fixed"/>
        <w:tblCellMar>
          <w:top w:w="0" w:type="dxa"/>
          <w:start w:w="108" w:type="dxa"/>
          <w:bottom w:w="0" w:type="dxa"/>
          <w:end w:w="108" w:type="dxa"/>
        </w:tblCellMar>
      </w:tblPr>
      <w:tblGrid>
        <w:gridCol w:w="4878"/>
        <w:gridCol w:w="270"/>
        <w:gridCol w:w="4590"/>
      </w:tblGrid>
      <w:tr>
        <w:trPr/>
        <w:tc>
          <w:tcPr>
            <w:tcW w:w="4878" w:type="dxa"/>
            <w:tcBorders/>
          </w:tcPr>
          <w:p>
            <w:pPr>
              <w:pStyle w:val="BodyText2"/>
              <w:ind w:start="0" w:end="0"/>
              <w:jc w:val="start"/>
              <w:rPr/>
            </w:pPr>
            <w:r>
              <w:rPr>
                <w:b/>
                <w:sz w:val="23"/>
              </w:rPr>
              <w:t>Morgan Stanley Capital Group Inc.</w:t>
            </w:r>
            <w:r>
              <w:rPr>
                <w:sz w:val="23"/>
              </w:rPr>
              <w:t xml:space="preserve"> (“MSCGI”)</w:t>
            </w:r>
          </w:p>
        </w:tc>
        <w:tc>
          <w:tcPr>
            <w:tcW w:w="270" w:type="dxa"/>
            <w:tcBorders/>
          </w:tcPr>
          <w:p>
            <w:pPr>
              <w:pStyle w:val="BodyText2"/>
              <w:snapToGrid w:val="false"/>
              <w:ind w:start="0" w:end="0"/>
              <w:jc w:val="start"/>
              <w:rPr>
                <w:sz w:val="23"/>
              </w:rPr>
            </w:pPr>
            <w:r>
              <w:rPr>
                <w:sz w:val="23"/>
              </w:rPr>
            </w:r>
          </w:p>
        </w:tc>
        <w:tc>
          <w:tcPr>
            <w:tcW w:w="4590" w:type="dxa"/>
            <w:tcBorders/>
          </w:tcPr>
          <w:p>
            <w:pPr>
              <w:pStyle w:val="BodyText2"/>
              <w:ind w:start="0" w:end="0"/>
              <w:jc w:val="start"/>
              <w:rPr/>
            </w:pPr>
            <w:r>
              <w:rPr>
                <w:b/>
                <w:sz w:val="23"/>
              </w:rPr>
              <w:t xml:space="preserve">Enron Canada Corp.  </w:t>
            </w:r>
            <w:r>
              <w:rPr>
                <w:sz w:val="23"/>
              </w:rPr>
              <w:t>(“Counterparty”)</w:t>
            </w:r>
          </w:p>
        </w:tc>
      </w:tr>
      <w:tr>
        <w:trPr/>
        <w:tc>
          <w:tcPr>
            <w:tcW w:w="4878" w:type="dxa"/>
            <w:tcBorders/>
          </w:tcPr>
          <w:p>
            <w:pPr>
              <w:pStyle w:val="BodyText2"/>
              <w:spacing w:before="240" w:after="0"/>
              <w:ind w:start="0" w:end="0"/>
              <w:jc w:val="start"/>
              <w:rPr>
                <w:u w:val="single"/>
              </w:rPr>
            </w:pPr>
            <w:r>
              <w:rPr/>
              <w:t>By:___________________________________</w:t>
            </w:r>
          </w:p>
        </w:tc>
        <w:tc>
          <w:tcPr>
            <w:tcW w:w="270" w:type="dxa"/>
            <w:tcBorders/>
          </w:tcPr>
          <w:p>
            <w:pPr>
              <w:pStyle w:val="BodyText2"/>
              <w:snapToGrid w:val="false"/>
              <w:spacing w:before="240" w:after="0"/>
              <w:ind w:start="0" w:end="0"/>
              <w:jc w:val="start"/>
              <w:rPr>
                <w:u w:val="single"/>
              </w:rPr>
            </w:pPr>
            <w:r>
              <w:rPr>
                <w:u w:val="single"/>
              </w:rPr>
            </w:r>
          </w:p>
        </w:tc>
        <w:tc>
          <w:tcPr>
            <w:tcW w:w="4590" w:type="dxa"/>
            <w:tcBorders/>
          </w:tcPr>
          <w:p>
            <w:pPr>
              <w:pStyle w:val="BodyText2"/>
              <w:spacing w:before="240" w:after="0"/>
              <w:ind w:start="0" w:end="0"/>
              <w:jc w:val="start"/>
              <w:rPr/>
            </w:pPr>
            <w:r>
              <w:rPr/>
              <w:t>By: _________________________________</w:t>
            </w:r>
          </w:p>
        </w:tc>
      </w:tr>
      <w:tr>
        <w:trPr/>
        <w:tc>
          <w:tcPr>
            <w:tcW w:w="4878" w:type="dxa"/>
            <w:tcBorders/>
          </w:tcPr>
          <w:p>
            <w:pPr>
              <w:pStyle w:val="BodyText2"/>
              <w:spacing w:before="240" w:after="0"/>
              <w:ind w:start="0" w:end="0"/>
              <w:jc w:val="start"/>
              <w:rPr/>
            </w:pPr>
            <w:r>
              <w:rPr/>
              <w:t>Name:_________________________________</w:t>
            </w:r>
          </w:p>
        </w:tc>
        <w:tc>
          <w:tcPr>
            <w:tcW w:w="270" w:type="dxa"/>
            <w:tcBorders/>
          </w:tcPr>
          <w:p>
            <w:pPr>
              <w:pStyle w:val="BodyText2"/>
              <w:snapToGrid w:val="false"/>
              <w:spacing w:before="240" w:after="0"/>
              <w:ind w:start="0" w:end="0"/>
              <w:jc w:val="start"/>
              <w:rPr/>
            </w:pPr>
            <w:r>
              <w:rPr/>
            </w:r>
          </w:p>
        </w:tc>
        <w:tc>
          <w:tcPr>
            <w:tcW w:w="4590" w:type="dxa"/>
            <w:tcBorders/>
          </w:tcPr>
          <w:p>
            <w:pPr>
              <w:pStyle w:val="BodyText2"/>
              <w:spacing w:before="240" w:after="0"/>
              <w:ind w:start="0" w:end="0"/>
              <w:jc w:val="start"/>
              <w:rPr/>
            </w:pPr>
            <w:r>
              <w:rPr/>
              <w:t>Name:_______________________________</w:t>
            </w:r>
          </w:p>
        </w:tc>
      </w:tr>
      <w:tr>
        <w:trPr/>
        <w:tc>
          <w:tcPr>
            <w:tcW w:w="4878" w:type="dxa"/>
            <w:tcBorders/>
          </w:tcPr>
          <w:p>
            <w:pPr>
              <w:pStyle w:val="BodyText2"/>
              <w:spacing w:before="240" w:after="0"/>
              <w:ind w:start="0" w:end="0"/>
              <w:jc w:val="start"/>
              <w:rPr/>
            </w:pPr>
            <w:r>
              <w:rPr/>
              <w:t>Title:__________________________________</w:t>
            </w:r>
          </w:p>
        </w:tc>
        <w:tc>
          <w:tcPr>
            <w:tcW w:w="270" w:type="dxa"/>
            <w:tcBorders/>
          </w:tcPr>
          <w:p>
            <w:pPr>
              <w:pStyle w:val="BodyText2"/>
              <w:snapToGrid w:val="false"/>
              <w:spacing w:before="240" w:after="0"/>
              <w:ind w:start="0" w:end="0"/>
              <w:jc w:val="start"/>
              <w:rPr/>
            </w:pPr>
            <w:r>
              <w:rPr/>
            </w:r>
          </w:p>
        </w:tc>
        <w:tc>
          <w:tcPr>
            <w:tcW w:w="4590" w:type="dxa"/>
            <w:tcBorders/>
          </w:tcPr>
          <w:p>
            <w:pPr>
              <w:pStyle w:val="BodyText2"/>
              <w:spacing w:before="240" w:after="0"/>
              <w:ind w:start="0" w:end="0"/>
              <w:jc w:val="start"/>
              <w:rPr/>
            </w:pPr>
            <w:r>
              <w:rPr/>
              <w:t>Title:________________________________</w:t>
            </w:r>
          </w:p>
        </w:tc>
      </w:tr>
    </w:tbl>
    <w:p>
      <w:pPr>
        <w:pStyle w:val="BodyText2"/>
        <w:ind w:hanging="720" w:end="0"/>
        <w:jc w:val="start"/>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p>
    <w:pPr>
      <w:pStyle w:val="Footer"/>
      <w:rPr>
        <w:rStyle w:val="PageNumber"/>
        <w:sz w:val="16"/>
      </w:rPr>
    </w:pPr>
    <w:r>
      <w:rPr>
        <w:sz w:val="16"/>
      </w:rPr>
      <w:t>(Rev. 02/01/01)</w:t>
    </w:r>
  </w:p>
  <w:p>
    <w:pPr>
      <w:pStyle w:val="Footer"/>
      <w:rPr/>
    </w:pPr>
    <w:r>
      <w:rPr>
        <w:rStyle w:val="PageNumber"/>
        <w:caps/>
        <w:sz w:val="15"/>
      </w:rPr>
      <w:t>WDC99 246935-6.043920.0021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caps/>
        <w:sz w:val="16"/>
      </w:rPr>
    </w:pPr>
    <w:r>
      <w:rPr>
        <w:sz w:val="16"/>
      </w:rPr>
      <w:t>(Rev. 02/01/01)</w:t>
    </w:r>
  </w:p>
  <w:p>
    <w:pPr>
      <w:pStyle w:val="Footer"/>
      <w:rPr>
        <w:caps/>
        <w:sz w:val="15"/>
      </w:rPr>
    </w:pPr>
    <w:r>
      <w:rPr>
        <w:caps/>
        <w:sz w:val="15"/>
      </w:rPr>
      <w:t>WDC99 246935-6.043920.0021</w:t>
    </w:r>
  </w:p>
  <w:p>
    <w:pPr>
      <w:pStyle w:val="Footer"/>
      <w:rPr/>
    </w:pPr>
    <w:r>
      <w:rPr>
        <w:caps/>
        <w:sz w:val="15"/>
      </w:rPr>
      <w:t>mscg - gisb S</w:t>
    </w:r>
    <w:r>
      <w:rPr>
        <w:sz w:val="15"/>
      </w:rPr>
      <w:t>pecial Provisions - Canadian Counterparties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spacing w:before="0" w:after="240"/>
      <w:rPr/>
    </w:pPr>
    <w:r>
      <w:rPr/>
      <w:t>SPECIAL PROVISIONS FOR GISB BASE CONTRACT FOR</w:t>
      <w:br/>
    </w:r>
    <w:r>
      <w:rPr>
        <w:u w:val="single"/>
      </w:rPr>
      <w:t>SHORT-TERM SALE AND PURCHASE OF NATURAL GAS</w:t>
    </w:r>
  </w:p>
  <w:p>
    <w:pPr>
      <w:pStyle w:val="Normal"/>
      <w:spacing w:before="0" w:after="240"/>
      <w:jc w:val="center"/>
      <w:rPr/>
    </w:pPr>
    <w:r>
      <w:rPr>
        <w:b/>
      </w:rPr>
      <w:t xml:space="preserve">(For </w:t>
    </w:r>
    <w:r>
      <w:rPr>
        <w:b/>
        <w:u w:val="single"/>
      </w:rPr>
      <w:t>Canadian</w:t>
    </w:r>
    <w:r>
      <w:rPr>
        <w:b/>
      </w:rPr>
      <w:t xml:space="preserve"> Counterparties)</w:t>
    </w:r>
  </w:p>
  <w:p>
    <w:pPr>
      <w:pStyle w:val="Header"/>
      <w:rPr>
        <w:b/>
      </w:rPr>
    </w:pPr>
    <w:r>
      <w:rPr>
        <w:b/>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720"/>
        </w:tabs>
        <w:ind w:start="720" w:hanging="720"/>
      </w:pPr>
      <w:rPr/>
    </w:lvl>
    <w:lvl w:ilvl="1">
      <w:start w:val="27"/>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3">
    <w:lvl w:ilvl="0">
      <w:start w:val="10"/>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1">
    <w:name w:val="WW8Num10z1"/>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6z0">
    <w:name w:val="WW8Num16z0"/>
    <w:qFormat/>
    <w:rPr/>
  </w:style>
  <w:style w:type="character" w:styleId="WW8Num17z0">
    <w:name w:val="WW8Num17z0"/>
    <w:qFormat/>
    <w:rPr>
      <w:color w:val="auto"/>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DefaultParagraphFont">
    <w:name w:val="Default Paragraph Font"/>
    <w:qFormat/>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jc w:val="center"/>
    </w:pPr>
    <w:rPr>
      <w:b/>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ind w:hanging="0" w:start="720" w:end="0"/>
      <w:jc w:val="both"/>
    </w:pPr>
    <w:rPr>
      <w:sz w:val="24"/>
    </w:rPr>
  </w:style>
  <w:style w:type="paragraph" w:styleId="BodyTextIndent2">
    <w:name w:val="Body Text Indent 2"/>
    <w:basedOn w:val="Normal"/>
    <w:qFormat/>
    <w:pPr>
      <w:ind w:hanging="0" w:start="72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WW-BodyText2">
    <w:name w:val="WW-Body Text 2"/>
    <w:basedOn w:val="Normal"/>
    <w:qFormat/>
    <w:pPr>
      <w:tabs>
        <w:tab w:val="left" w:pos="-1440" w:leader="none"/>
        <w:tab w:val="left" w:pos="-72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0" w:start="720" w:end="0"/>
      <w:jc w:val="both"/>
    </w:pPr>
    <w:rPr>
      <w:spacing w:val="-2"/>
    </w:rPr>
  </w:style>
  <w:style w:type="paragraph" w:styleId="BodyText3">
    <w:name w:val="Body Text 3"/>
    <w:basedOn w:val="Normal"/>
    <w:qFormat/>
    <w:pPr>
      <w:tabs>
        <w:tab w:val="left" w:pos="720" w:leader="none"/>
      </w:tabs>
      <w:jc w:val="both"/>
    </w:pPr>
    <w:rPr>
      <w:sz w:val="24"/>
    </w:rPr>
  </w:style>
  <w:style w:type="paragraph" w:styleId="BodyTextIndent">
    <w:name w:val="Body Text Indent"/>
    <w:basedOn w:val="Normal"/>
    <w:pPr>
      <w:tabs>
        <w:tab w:val="clear" w:pos="720"/>
        <w:tab w:val="left" w:pos="-720" w:leader="none"/>
      </w:tabs>
      <w:suppressAutoHyphens w:val="true"/>
      <w:ind w:hanging="720" w:start="1440" w:end="0"/>
      <w:jc w:val="both"/>
    </w:pPr>
    <w:rPr>
      <w:sz w:val="22"/>
    </w:rPr>
  </w:style>
  <w:style w:type="paragraph" w:styleId="BodyTextIndent3">
    <w:name w:val="Body Text Indent 3"/>
    <w:basedOn w:val="Normal"/>
    <w:qFormat/>
    <w:pPr>
      <w:suppressAutoHyphens w:val="true"/>
      <w:ind w:hanging="0" w:start="720" w:end="0"/>
      <w:jc w:val="both"/>
    </w:pPr>
    <w:rPr>
      <w:sz w:val="22"/>
    </w:rPr>
  </w:style>
  <w:style w:type="paragraph" w:styleId="Style0">
    <w:name w:val="Style0"/>
    <w:qFormat/>
    <w:pPr>
      <w:widowControl/>
      <w:bidi w:val="0"/>
    </w:pPr>
    <w:rPr>
      <w:rFonts w:ascii="Arial" w:hAnsi="Arial" w:eastAsia="Times New Roman" w:cs="Arial"/>
      <w:color w:val="auto"/>
      <w:sz w:val="24"/>
      <w:szCs w:val="20"/>
      <w:lang w:val="en-US" w:eastAsia="en-US" w:bidi="hi-IN"/>
    </w:rPr>
  </w:style>
  <w:style w:type="paragraph" w:styleId="FootnoteText">
    <w:name w:val="footnote text"/>
    <w:basedOn w:val="Normal"/>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2001-10-29T18:45:00Z</dcterms:created>
  <dc:creator>bmccoy</dc:creator>
  <dc:description/>
  <dc:language>en-CA</dc:language>
  <cp:lastModifiedBy>Daniel Garcia</cp:lastModifiedBy>
  <cp:lastPrinted>2001-09-05T10:32:00Z</cp:lastPrinted>
  <dcterms:modified xsi:type="dcterms:W3CDTF">2001-10-29T20:27:00Z</dcterms:modified>
  <cp:revision>6</cp:revision>
  <dc:subject/>
  <dc:title>SPECIAL PROVISIONS FOR</dc:title>
</cp:coreProperties>
</file>