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aps/>
        </w:rPr>
      </w:pPr>
      <w:r>
        <w:rPr>
          <w:caps/>
        </w:rPr>
        <w:t>Reliant Energy Canada Services Ltd.</w:t>
      </w:r>
    </w:p>
    <w:p>
      <w:pPr>
        <w:pStyle w:val="Normal"/>
        <w:tabs>
          <w:tab w:val="clear" w:pos="720"/>
          <w:tab w:val="left" w:pos="4680" w:leader="none"/>
        </w:tabs>
        <w:jc w:val="center"/>
        <w:rPr>
          <w:caps/>
        </w:rPr>
      </w:pPr>
      <w:r>
        <w:rPr>
          <w:caps/>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pPr>
      <w:r>
        <w:rPr/>
        <w:t>Dated:  January 1, 2000</w:t>
      </w:r>
    </w:p>
    <w:p>
      <w:pPr>
        <w:pStyle w:val="Normal"/>
        <w:rPr/>
      </w:pPr>
      <w:r>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Confidential Guarantee Agreement (Enron North America Corp.)</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b/>
        </w:rPr>
      </w:pPr>
      <w:r>
        <w:rPr/>
        <w:tab/>
        <w:t>EXHIBIT “D” - Confidential Guarantee Agreement (Reliant Energy Resources Corp.)</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w:t>
      </w:r>
      <w:r>
        <w:rPr>
          <w:vertAlign w:val="superscript"/>
        </w:rPr>
        <w:t>st</w:t>
      </w:r>
      <w:r>
        <w:rPr/>
        <w:t xml:space="preserve"> day of January, 2000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rPr>
        <w:t>Reliant Energy Services Canada, Ltd.</w:t>
      </w:r>
      <w:r>
        <w:rPr/>
        <w:t xml:space="preserve">, a body corporate, with offices in Calgary, Alberta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  The price in C $ per GJ for a Transaction unless otherwise specified in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color w:val="0000FF"/>
        </w:rPr>
      </w:pPr>
      <w:r>
        <w:rPr>
          <w:color w:val="0000FF"/>
        </w:rPr>
        <w:tab/>
        <w:t xml:space="preserve">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080" w:leader="none"/>
          <w:tab w:val="left" w:pos="2016" w:leader="none"/>
          <w:tab w:val="left" w:pos="2880" w:leader="none"/>
          <w:tab w:val="left" w:pos="3744" w:leader="none"/>
          <w:tab w:val="left" w:pos="5760" w:leader="none"/>
        </w:tabs>
        <w:jc w:val="both"/>
        <w:rPr>
          <w:u w:val="single"/>
        </w:rPr>
      </w:pPr>
      <w:r>
        <w:rPr/>
        <w:tab/>
        <w:t>"</w:t>
      </w:r>
      <w:r>
        <w:rPr>
          <w:i/>
          <w:u w:val="single"/>
        </w:rPr>
        <w:t>Guarantor</w:t>
      </w:r>
      <w:r>
        <w:rPr>
          <w:u w:val="single"/>
        </w:rPr>
        <w:t>"</w:t>
      </w:r>
      <w:r>
        <w:rPr/>
        <w:t xml:space="preserve"> means, as to Company, Company’s ultimate parent, Enron Corp., and as to Customer, Customer’s ultimate parent, Reliant Energy Resources Corp.</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Reliant Energy Services, Inc.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1TAB"/>
        <w:rPr/>
      </w:pPr>
      <w:r>
        <w:rPr/>
        <w:t>“</w:t>
      </w:r>
      <w:r>
        <w:rPr>
          <w:rFonts w:cs="Times New Roman Bold" w:ascii="Times New Roman Bold" w:hAnsi="Times New Roman Bold"/>
          <w:b/>
          <w:i/>
        </w:rPr>
        <w:t>Mcf</w:t>
      </w:r>
      <w:r>
        <w:rPr>
          <w:rFonts w:cs="Times New Roman Bold" w:ascii="Times New Roman Bold" w:hAnsi="Times New Roman Bold"/>
          <w:i/>
        </w:rPr>
        <w:t xml:space="preserve">" </w:t>
      </w:r>
      <w:r>
        <w:rPr/>
        <w:t xml:space="preserve"> means one thousand cubic feet of Gas.</w:t>
      </w:r>
    </w:p>
    <w:p>
      <w:pPr>
        <w:pStyle w:val="1TAB"/>
        <w:rPr/>
      </w:pPr>
      <w:r>
        <w:rPr/>
        <w:t>“</w:t>
      </w:r>
      <w:r>
        <w:rPr>
          <w:b/>
          <w:i/>
        </w:rPr>
        <w:t>MMBtu</w:t>
      </w:r>
      <w:r>
        <w:rPr/>
        <w:t>” means one million British thermal units, each Btu representing the amount of heat required to raise the temperature of one avoirdupois pound of pure water from fifty-eight and five tenths degrees (58.5) Fahrenheit to fifty-nine and five-tenths degrees (59.5) Fahrenheit at a constant pressure of fourteen and seventy-three hundredths (14.73) pounds per square inch absolute.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(a) if the underlying Transaction is denominated in U.S. Dollars, (i) if the time remaining in the Delivery Period is one year or less, the "Ask Yield" interest rate for the appropriate U.S. Government Treasury bill or note with a term closest to the time remaining in the Delivery Period, plus 100 basis points, or (ii) if the time remaining in the Delivery Period is greater than one year, the “Ask Yield” interest rate for the appropriate U.S. Government Treasury note with a term closest to the time remaining in the Delivery Period, plus 100 basis points, in each case, as quoted in the “Treasury Bonds, Notes &amp; Bills” section of The Wall Street Journal most recently published as of the date of determination or by such other source as the Parties may agree; (b) if the underlying Transaction is denominated in Canadian Dollars,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generation,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All Confirmation Letters shall constitute an integral part of this Agreement and any discrepancy  shall be resolved in favor of: (i) a Confirmation Letter which has been signed by Company and Customer or is deemed accepted; (ii) the oral or electronic agreement of the Transaction; or (iii) this Agreement including Exhibits and Schedules, the terms shall control in the priority listed above.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2"/>
        <w:rPr/>
      </w:pPr>
      <w:r>
        <w:rPr>
          <w:u w:val="single"/>
        </w:rPr>
        <w:t>Recording</w:t>
      </w:r>
      <w:r>
        <w:rPr/>
        <w:t>.  Company and Customer consent to the recording of its representatives’ telephone conversations in connection with this Agreement without further notice.  All recordings may be introduced into evidence and used to prove the terms of a Transaction between the Parties, and all objections to the introduction of such evidence to prove the terms of a Transaction between the Parties based on principles of Statutes of Fraud, the Parol Evidence Rule or similar evidentiary rules, including any assertion that such instructions or agreements are not in writing or signed by a Party or both Parties, are waived.  In addition, all objections to the authority (actual or apparent) of a Party’s representatives to enter into a Transaction are waived.</w:t>
      </w:r>
    </w:p>
    <w:p>
      <w:pPr>
        <w:pStyle w:val="Justified"/>
        <w:rPr/>
      </w:pPr>
      <w:r>
        <w:rPr/>
      </w:r>
    </w:p>
    <w:p>
      <w:pPr>
        <w:pStyle w:val="Heading2"/>
        <w:rPr/>
      </w:pPr>
      <w:r>
        <w:rPr>
          <w:u w:val="single"/>
        </w:rPr>
        <w:t>Broker Facilitated Transactions</w:t>
      </w:r>
      <w:r>
        <w:rPr/>
        <w:t>.  The Parties agree that in some instances purchases and sales may be facilitated through a broker and that recorded conversations with brokers and broker confirmations are admissible into evidence and may be used to prove the terms of a Transaction and the authority of the broker to enter into the Transaction.  The Parties waive all evidentiary objections related to the introduction of such evidence.  Transactions facilitated through brokers are subject to the terms of this Agreement.</w:t>
      </w:r>
    </w:p>
    <w:p>
      <w:pPr>
        <w:pStyle w:val="Heading2"/>
        <w:rPr/>
      </w:pPr>
      <w:r>
        <w:rPr/>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two (2) Business Days of receiving such Confirmation Letter, so inform Company, and thereafter the Parties shall in good faith resolve the discrepancy.  If Customer provides no notice of inaccuracy within such two (2)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U.S. $0.05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U.S. $0.05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  By the 15</w:t>
      </w:r>
      <w:r>
        <w:rPr>
          <w:vertAlign w:val="superscript"/>
        </w:rPr>
        <w:t>th</w:t>
      </w:r>
      <w:r>
        <w:rPr/>
        <w:t xml:space="preserve">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15</w:t>
      </w:r>
      <w:r>
        <w:rPr>
          <w:vertAlign w:val="superscript"/>
        </w:rPr>
        <w:t>th</w:t>
      </w:r>
      <w:r>
        <w:rPr/>
        <w:t xml:space="preserve">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t>10.1</w:t>
        <w:tab/>
      </w:r>
      <w:r>
        <w:rPr>
          <w:u w:val="single"/>
        </w:rPr>
        <w:t>Early Termination</w:t>
      </w:r>
      <w:r>
        <w:rPr/>
        <w:t xml:space="preserve">.  If a Triggering Event (defined in </w:t>
      </w:r>
      <w:r>
        <w:rPr>
          <w:u w:val="single"/>
        </w:rPr>
        <w:t>Section 10.2</w:t>
      </w:r>
      <w:r>
        <w:rPr/>
        <w:t>) occurs with respect to either Party (such Party, the "Affected Party") at any time during the term of this Agreement and shall be continuing, the other Party (the "</w:t>
      </w:r>
      <w:r>
        <w:rPr>
          <w:u w:val="single"/>
        </w:rPr>
        <w:t>Notifying Party</w:t>
      </w:r>
      <w:r>
        <w:rPr/>
        <w:t>") may (i) upon two (2) Business Days written notice to the Affected Party, establish a date on (which date shall be no earlier than the date such notice is effective and 20 days after such notice is effective) which  all Transactions selected by it and this Agreement in respect thereof will terminate ("</w:t>
      </w:r>
      <w:r>
        <w:rPr>
          <w:u w:val="single"/>
        </w:rPr>
        <w:t>Early Termination Date</w:t>
      </w:r>
      <w:r>
        <w:rPr/>
        <w:t xml:space="preserve">") except as provided in </w:t>
      </w:r>
      <w:r>
        <w:rPr>
          <w:u w:val="single"/>
        </w:rPr>
        <w:t>Section 17.1</w:t>
      </w:r>
      <w:r>
        <w:rPr/>
        <w:t xml:space="preserve">, (ii) withhold any payments due in respect of such Transactions, (iii) accelerate all amounts owing, and (iv) suspend performance provided, upon the occurrence of any Triggering Event listed </w:t>
      </w:r>
      <w:r>
        <w:rPr>
          <w:u w:val="single"/>
        </w:rPr>
        <w:t>Section 10.2</w:t>
      </w:r>
      <w:r>
        <w:rPr/>
        <w:t xml:space="preserve"> as it may apply to any party, all Transactions and this Agreement in respect thereof shall automatically terminate, without notice, as if an Early Termination Date had been immediately declared except as provided in </w:t>
      </w:r>
      <w:r>
        <w:rPr>
          <w:u w:val="single"/>
        </w:rPr>
        <w:t>Section 17.1</w:t>
      </w:r>
      <w:r>
        <w:rPr/>
        <w:t>.  If an Early Termination Date occurs, the Notifying Party shall in good faith calculate its damages, including its associated costs and attorneys' fees, resulting from the termination of the terminated Transactions (the "</w:t>
      </w:r>
      <w:r>
        <w:rPr>
          <w:u w:val="single"/>
        </w:rPr>
        <w:t>Termination Payment</w:t>
      </w:r>
      <w:r>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u w:val="single"/>
        </w:rPr>
        <w:t>Article 10</w:t>
      </w:r>
      <w:r>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(3)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Heading2"/>
        <w:rPr/>
      </w:pPr>
      <w:r>
        <w:rPr/>
      </w:r>
    </w:p>
    <w:p>
      <w:pPr>
        <w:pStyle w:val="Heading6"/>
        <w:ind w:start="0" w:end="0"/>
        <w:rPr/>
      </w:pPr>
      <w:r>
        <w:rPr/>
        <w:tab/>
        <w:t>10.2.</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 xml:space="preserve">$75,000,000; </w:t>
      </w:r>
      <w:r>
        <w:rPr/>
        <w:t xml:space="preserve"> with respect to Company, Company’s Guarantor shall have defaulted on its indebted</w:t>
        <w:softHyphen/>
        <w:t xml:space="preserve">ness to third parties, resulting in an Acceleration of Obligations of Company’s Guarantor in excess of </w:t>
      </w:r>
      <w:r>
        <w:rPr>
          <w:color w:val="0000FF"/>
        </w:rPr>
        <w:t>U.S. $100,000,000</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10.3.</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33</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34</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10.4.</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10.5.</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35</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 (b)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$10,000,000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36</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38</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39</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41</w:t>
      </w:r>
      <w:r>
        <w:rPr/>
        <w:fldChar w:fldCharType="end"/>
      </w:r>
      <w:r>
        <w:rPr/>
        <w:br/>
        <w:t>FORCE MAJEURE</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43</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TAB2"/>
        <w:ind w:firstLine="720" w:start="0" w:end="0"/>
        <w:rPr/>
      </w:pPr>
      <w:r>
        <w:rPr/>
        <w:t>14.3</w:t>
        <w:tab/>
      </w:r>
      <w:r>
        <w:rPr>
          <w:u w:val="single"/>
        </w:rPr>
        <w:t>Force Majeure for Transactions with a Delivery Point other than NIT</w:t>
      </w:r>
      <w:r>
        <w:rPr/>
        <w:t xml:space="preserve">.  If the Delivery Point is other than NIT, this Section 14.3 shall apply. </w:t>
      </w:r>
    </w:p>
    <w:p>
      <w:pPr>
        <w:pStyle w:val="TAB2"/>
        <w:ind w:hanging="0" w:start="720" w:end="0"/>
        <w:rPr/>
      </w:pPr>
      <w:r>
        <w:rPr>
          <w:u w:val="single"/>
        </w:rPr>
        <w:t>a)</w:t>
        <w:tab/>
      </w:r>
      <w:r>
        <w:rPr/>
        <w:t xml:space="preserve">Except with regard to a Party’s obligation to make payments due in accordance with </w:t>
      </w:r>
      <w:r>
        <w:rPr>
          <w:u w:val="single"/>
        </w:rPr>
        <w:t>Article 9</w:t>
      </w:r>
      <w:r>
        <w:rPr/>
        <w:t xml:space="preserve"> and to pay imbalance charges in accordance with </w:t>
      </w:r>
      <w:r>
        <w:rPr>
          <w:u w:val="single"/>
        </w:rPr>
        <w:t>Article 16</w:t>
      </w:r>
      <w:r>
        <w:rPr/>
        <w:t>, neither Party shall be liable to the other for failure to perform a “Firm” obligation, to the extent and only to the extent that it is unable to perform due to Force Majeure.  The term "</w:t>
      </w:r>
      <w:r>
        <w:rPr>
          <w:b/>
          <w:i/>
        </w:rPr>
        <w:t>Force Majeure</w:t>
      </w:r>
      <w:r>
        <w:rPr/>
        <w:t xml:space="preserve">" as employed herein means any cause not reasonably within the control of the Party claiming suspension; </w:t>
      </w:r>
      <w:r>
        <w:rPr>
          <w:u w:val="single"/>
        </w:rPr>
        <w:t>provided that</w:t>
      </w:r>
      <w:r>
        <w:rPr/>
        <w: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w:t>
      </w:r>
    </w:p>
    <w:p>
      <w:pPr>
        <w:pStyle w:val="TAB2"/>
        <w:ind w:hanging="0" w:start="720" w:end="0"/>
        <w:rPr/>
      </w:pPr>
      <w:r>
        <w:rPr/>
        <w:t>(b)</w:t>
        <w:tab/>
        <w:t>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TAB2"/>
        <w:ind w:hanging="0" w:start="720" w:end="0"/>
        <w:rPr/>
      </w:pPr>
      <w:r>
        <w:rPr/>
        <w:t>(c)</w:t>
        <w:tab/>
        <w:t>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or (iii) economic hardship.  The party claiming Force Majeure shall not be excused from its responsibility for Imbalance Charges.</w:t>
      </w:r>
    </w:p>
    <w:p>
      <w:pPr>
        <w:pStyle w:val="TAB2"/>
        <w:ind w:hanging="0" w:start="720" w:end="0"/>
        <w:rPr/>
      </w:pPr>
      <w:r>
        <w:rPr/>
        <w:t>(d)</w:t>
        <w:tab/>
        <w:t>Notwithstanding anything to the contrary in the Agreement, the Parties agree that the settlement of strikes, lockouts or other industrial disturbances relative to Transactions of Gas shall be entirely within the sole discretion of the Party experiencing such disturbance.</w:t>
      </w:r>
    </w:p>
    <w:p>
      <w:pPr>
        <w:pStyle w:val="TAB2"/>
        <w:ind w:hanging="0" w:start="720" w:end="0"/>
        <w:rPr/>
      </w:pPr>
      <w:r>
        <w:rPr/>
        <w:t>(e)</w:t>
        <w:tab/>
        <w:t>The Party whose performance is prevented by Force Majeure must provide notice to the other Party.  Initial notice may be given orally; however, written notification with reasonably full particulars of the event or occurrence is required as soon as reasonably possible.  Except as expressly provided in these Gas Commodity Specific Terms with respect to (i) payments due, (ii) Imbalance Charges, and (iii) Financially Firm Transactions,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Heading2"/>
        <w:ind w:hanging="0" w:start="720" w:end="0"/>
        <w:rPr/>
      </w:pPr>
      <w:r>
        <w:rPr/>
        <w:t>(f)</w:t>
        <w:tab/>
        <w:t xml:space="preserve">The Party claiming Force Majeure as an excuse for performance shall provide the other Party a good faith estimate of the duration of the Force Majeure so that such other Party may make alternative arrangements. </w:t>
      </w:r>
    </w:p>
    <w:p>
      <w:pPr>
        <w:pStyle w:val="Heading1"/>
        <w:ind w:hanging="0" w:start="0"/>
        <w:rPr/>
      </w:pPr>
      <w:r>
        <w:rPr/>
        <w:t xml:space="preserve">ARTICLE </w:t>
      </w:r>
      <w:r>
        <w:rPr/>
        <w:fldChar w:fldCharType="begin"/>
      </w:r>
      <w:r>
        <w:rPr/>
        <w:instrText xml:space="preserve"> SEQ AutoNr \* ARABIC </w:instrText>
      </w:r>
      <w:r>
        <w:rPr/>
        <w:fldChar w:fldCharType="separate"/>
      </w:r>
      <w:r>
        <w:rPr/>
        <w:t>44</w:t>
      </w:r>
      <w:r>
        <w:rPr/>
        <w:fldChar w:fldCharType="end"/>
      </w:r>
      <w:r>
        <w:rPr/>
        <w:br/>
        <w:t>TAXES</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49</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MISCELLANEOUS</w:t>
      </w:r>
    </w:p>
    <w:p>
      <w:pPr>
        <w:pStyle w:val="Justified"/>
        <w:rPr/>
      </w:pPr>
      <w:r>
        <w:rPr/>
        <w:fldChar w:fldCharType="begin"/>
      </w:r>
      <w:r>
        <w:rPr/>
        <w:instrText xml:space="preserve"> SEQ AutoNr \* ARABIC </w:instrText>
      </w:r>
      <w:r>
        <w:rPr/>
        <w:fldChar w:fldCharType="separate"/>
      </w:r>
      <w:r>
        <w:rPr/>
        <w:t>53</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r>
        <w:br w:type="page"/>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caps/>
              </w:rPr>
            </w:pPr>
            <w:r>
              <w:rPr>
                <w:b/>
                <w:caps/>
                <w:color w:val="0000FF"/>
              </w:rPr>
              <w:t>reliant energy canada services, ltd.</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reliant energy canada services, ltd.</w:t>
      </w:r>
      <w:r>
        <w:rPr>
          <w:b/>
          <w:caps/>
        </w:rPr>
        <w:t xml:space="preserve"> </w:t>
      </w:r>
    </w:p>
    <w:p>
      <w:pPr>
        <w:pStyle w:val="Normal"/>
        <w:ind w:start="720" w:end="720"/>
        <w:jc w:val="center"/>
        <w:rPr/>
      </w:pPr>
      <w:r>
        <w:rPr>
          <w:b/>
          <w:caps/>
        </w:rPr>
        <w:t>DATED January 1</w:t>
      </w:r>
      <w:r>
        <w:rPr>
          <w:b/>
          <w:caps/>
          <w:color w:val="0000FF"/>
        </w:rPr>
        <w:t>,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971"/>
        <w:gridCol w:w="450"/>
        <w:gridCol w:w="4140"/>
      </w:tblGrid>
      <w:tr>
        <w:trPr/>
        <w:tc>
          <w:tcPr>
            <w:tcW w:w="4971" w:type="dxa"/>
            <w:tcBorders/>
          </w:tcPr>
          <w:p>
            <w:pPr>
              <w:pStyle w:val="Normal"/>
              <w:tabs>
                <w:tab w:val="clear" w:pos="720"/>
                <w:tab w:val="center" w:pos="4680" w:leader="none"/>
              </w:tabs>
              <w:rPr>
                <w:b/>
              </w:rPr>
            </w:pPr>
            <w:r>
              <w:rPr>
                <w:b/>
              </w:rPr>
              <w:t>NOTICES TO COMPANY:</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b/>
              </w:rPr>
            </w:pPr>
            <w:r>
              <w:rPr>
                <w:b/>
              </w:rPr>
              <w:t>NOTICES TO CUSTOMER:</w:t>
            </w:r>
          </w:p>
        </w:tc>
      </w:tr>
      <w:tr>
        <w:trPr/>
        <w:tc>
          <w:tcPr>
            <w:tcW w:w="4971" w:type="dxa"/>
            <w:tcBorders/>
          </w:tcPr>
          <w:p>
            <w:pPr>
              <w:pStyle w:val="Normal"/>
              <w:tabs>
                <w:tab w:val="clear" w:pos="720"/>
                <w:tab w:val="center" w:pos="4680" w:leader="none"/>
              </w:tabs>
              <w:jc w:val="both"/>
              <w:rPr>
                <w:b/>
              </w:rPr>
            </w:pPr>
            <w:r>
              <w:rPr/>
              <w:t>Enron North America Corp.</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Reliant Energy Canada Services, Ltd.</w:t>
            </w:r>
          </w:p>
        </w:tc>
      </w:tr>
      <w:tr>
        <w:trPr/>
        <w:tc>
          <w:tcPr>
            <w:tcW w:w="4971" w:type="dxa"/>
            <w:tcBorders/>
          </w:tcPr>
          <w:p>
            <w:pPr>
              <w:pStyle w:val="Justified"/>
              <w:tabs>
                <w:tab w:val="clear" w:pos="720"/>
                <w:tab w:val="center" w:pos="4680" w:leader="none"/>
              </w:tabs>
              <w:spacing w:before="0" w:after="0"/>
              <w:rPr/>
            </w:pPr>
            <w:r>
              <w:rPr/>
              <w:t>P.O. Box 4428</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4" w:space="0" w:color="000000"/>
            </w:tcBorders>
          </w:tcPr>
          <w:p>
            <w:pPr>
              <w:pStyle w:val="Normal"/>
              <w:tabs>
                <w:tab w:val="clear" w:pos="720"/>
                <w:tab w:val="center" w:pos="4680" w:leader="none"/>
              </w:tabs>
              <w:jc w:val="both"/>
              <w:rPr/>
            </w:pPr>
            <w:r>
              <w:rPr>
                <w:color w:val="0000FF"/>
              </w:rPr>
              <w:t>1510, 421 - 7</w:t>
            </w:r>
            <w:r>
              <w:rPr>
                <w:color w:val="0000FF"/>
                <w:vertAlign w:val="superscript"/>
              </w:rPr>
              <w:t>th</w:t>
            </w:r>
            <w:r>
              <w:rPr>
                <w:color w:val="0000FF"/>
              </w:rPr>
              <w:t xml:space="preserve"> Avenue S.W.</w:t>
            </w:r>
          </w:p>
        </w:tc>
      </w:tr>
      <w:tr>
        <w:trPr/>
        <w:tc>
          <w:tcPr>
            <w:tcW w:w="4971" w:type="dxa"/>
            <w:tcBorders/>
          </w:tcPr>
          <w:p>
            <w:pPr>
              <w:pStyle w:val="Justified"/>
              <w:tabs>
                <w:tab w:val="clear" w:pos="720"/>
                <w:tab w:val="center" w:pos="4680" w:leader="none"/>
              </w:tabs>
              <w:spacing w:before="0" w:after="0"/>
              <w:rPr/>
            </w:pPr>
            <w:r>
              <w:rPr/>
              <w:t>Houston, TX 77210-4428</w:t>
            </w:r>
          </w:p>
        </w:tc>
        <w:tc>
          <w:tcPr>
            <w:tcW w:w="450" w:type="dxa"/>
            <w:tcBorders/>
          </w:tcPr>
          <w:p>
            <w:pPr>
              <w:pStyle w:val="Normal"/>
              <w:tabs>
                <w:tab w:val="clear" w:pos="720"/>
                <w:tab w:val="center" w:pos="4680" w:leader="none"/>
              </w:tabs>
              <w:snapToGrid w:val="false"/>
              <w:jc w:val="end"/>
              <w:rPr/>
            </w:pPr>
            <w:r>
              <w:rPr/>
            </w:r>
          </w:p>
        </w:tc>
        <w:tc>
          <w:tcPr>
            <w:tcW w:w="4140" w:type="dxa"/>
            <w:tcBorders>
              <w:top w:val="single" w:sz="4" w:space="0" w:color="000000"/>
            </w:tcBorders>
          </w:tcPr>
          <w:p>
            <w:pPr>
              <w:pStyle w:val="Normal"/>
              <w:tabs>
                <w:tab w:val="clear" w:pos="720"/>
                <w:tab w:val="center" w:pos="4680" w:leader="none"/>
              </w:tabs>
              <w:jc w:val="both"/>
              <w:rPr>
                <w:color w:val="0000FF"/>
              </w:rPr>
            </w:pPr>
            <w:r>
              <w:rPr>
                <w:color w:val="0000FF"/>
              </w:rPr>
              <w:t>Calgary, Alberta T2P 4K9</w:t>
            </w:r>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 Contract Administration</w:t>
            </w:r>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 403-294-1211</w:t>
            </w:r>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971" w:type="dxa"/>
            <w:tcBorders/>
          </w:tcPr>
          <w:p>
            <w:pPr>
              <w:pStyle w:val="Normal"/>
              <w:tabs>
                <w:tab w:val="clear" w:pos="720"/>
                <w:tab w:val="center" w:pos="4680" w:leader="none"/>
              </w:tabs>
              <w:jc w:val="both"/>
              <w:rPr>
                <w:b/>
              </w:rPr>
            </w:pPr>
            <w:r>
              <w:rPr>
                <w:b/>
              </w:rPr>
              <w:t>PAYMENTS TO COMPANY:</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b/>
              </w:rPr>
            </w:pPr>
            <w:r>
              <w:rPr>
                <w:b/>
              </w:rPr>
              <w:t>PAYMENTS TO CUSTOMER</w:t>
            </w:r>
          </w:p>
        </w:tc>
      </w:tr>
      <w:tr>
        <w:trPr/>
        <w:tc>
          <w:tcPr>
            <w:tcW w:w="4971" w:type="dxa"/>
            <w:tcBorders/>
          </w:tcPr>
          <w:p>
            <w:pPr>
              <w:pStyle w:val="Normal"/>
              <w:tabs>
                <w:tab w:val="clear" w:pos="720"/>
                <w:tab w:val="center" w:pos="4680" w:leader="none"/>
              </w:tabs>
              <w:jc w:val="both"/>
              <w:rPr>
                <w:b/>
              </w:rPr>
            </w:pPr>
            <w:r>
              <w:rPr/>
              <w:t>If by Wire Transfer, to:</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971"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Canadian Imperial Bank of Commerce</w:t>
            </w:r>
          </w:p>
          <w:p>
            <w:pPr>
              <w:pStyle w:val="Normal"/>
              <w:tabs>
                <w:tab w:val="clear" w:pos="720"/>
                <w:tab w:val="center" w:pos="4680" w:leader="none"/>
              </w:tabs>
              <w:jc w:val="both"/>
              <w:rPr/>
            </w:pPr>
            <w:r>
              <w:rPr/>
              <w:t>Transit #0009, Bank #010</w:t>
            </w:r>
          </w:p>
          <w:p>
            <w:pPr>
              <w:pStyle w:val="Normal"/>
              <w:tabs>
                <w:tab w:val="clear" w:pos="720"/>
                <w:tab w:val="center" w:pos="4680" w:leader="none"/>
              </w:tabs>
              <w:jc w:val="both"/>
              <w:rPr/>
            </w:pPr>
            <w:r>
              <w:rPr/>
              <w:t>Acct # 80-31614 CAD$</w:t>
            </w:r>
          </w:p>
          <w:p>
            <w:pPr>
              <w:pStyle w:val="Normal"/>
              <w:tabs>
                <w:tab w:val="clear" w:pos="720"/>
                <w:tab w:val="center" w:pos="4680" w:leader="none"/>
              </w:tabs>
              <w:jc w:val="both"/>
              <w:rPr/>
            </w:pPr>
            <w:r>
              <w:rPr/>
              <w:t>Acct # 04-47218 US$</w:t>
            </w:r>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971" w:type="dxa"/>
            <w:tcBorders/>
          </w:tcPr>
          <w:p>
            <w:pPr>
              <w:pStyle w:val="Normal"/>
              <w:tabs>
                <w:tab w:val="clear" w:pos="720"/>
                <w:tab w:val="center" w:pos="4680" w:leader="none"/>
              </w:tabs>
              <w:jc w:val="both"/>
              <w:rPr>
                <w:b/>
              </w:rPr>
            </w:pPr>
            <w:r>
              <w:rPr>
                <w:b/>
              </w:rPr>
              <w:t>BILLING AND ACCOUNTING</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b/>
              </w:rPr>
            </w:pPr>
            <w:r>
              <w:rPr>
                <w:b/>
              </w:rPr>
              <w:t xml:space="preserve">BILLING AND ACCOUNTING </w:t>
            </w:r>
          </w:p>
        </w:tc>
      </w:tr>
      <w:tr>
        <w:trPr/>
        <w:tc>
          <w:tcPr>
            <w:tcW w:w="4971" w:type="dxa"/>
            <w:tcBorders/>
          </w:tcPr>
          <w:p>
            <w:pPr>
              <w:pStyle w:val="Normal"/>
              <w:tabs>
                <w:tab w:val="clear" w:pos="720"/>
                <w:tab w:val="center" w:pos="4680" w:leader="none"/>
              </w:tabs>
              <w:jc w:val="both"/>
              <w:rPr>
                <w:b/>
              </w:rPr>
            </w:pPr>
            <w:r>
              <w:rPr>
                <w:b/>
              </w:rPr>
              <w:t>MATTERS</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b/>
              </w:rPr>
            </w:pPr>
            <w:r>
              <w:rPr>
                <w:b/>
              </w:rPr>
              <w:t>MATTERS</w:t>
            </w:r>
          </w:p>
        </w:tc>
      </w:tr>
      <w:tr>
        <w:trPr/>
        <w:tc>
          <w:tcPr>
            <w:tcW w:w="4971" w:type="dxa"/>
            <w:tcBorders/>
          </w:tcPr>
          <w:p>
            <w:pPr>
              <w:pStyle w:val="Normal"/>
              <w:tabs>
                <w:tab w:val="clear" w:pos="720"/>
                <w:tab w:val="center" w:pos="4680" w:leader="none"/>
              </w:tabs>
              <w:jc w:val="both"/>
              <w:rPr>
                <w:b/>
              </w:rPr>
            </w:pPr>
            <w:r>
              <w:rPr/>
              <w:t>TO Company:</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971" w:type="dxa"/>
            <w:tcBorders/>
          </w:tcPr>
          <w:p>
            <w:pPr>
              <w:pStyle w:val="Normal"/>
              <w:tabs>
                <w:tab w:val="clear" w:pos="720"/>
                <w:tab w:val="center" w:pos="4680" w:leader="none"/>
              </w:tabs>
              <w:jc w:val="both"/>
              <w:rPr>
                <w:b/>
              </w:rPr>
            </w:pPr>
            <w:r>
              <w:rPr/>
              <w:t>Enron North America  Corp.</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Reliant Energy Services Canada, Ltd.</w:t>
            </w:r>
          </w:p>
        </w:tc>
      </w:tr>
      <w:tr>
        <w:trPr/>
        <w:tc>
          <w:tcPr>
            <w:tcW w:w="4971"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450"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1510, 421 - 7</w:t>
            </w:r>
            <w:r>
              <w:rPr>
                <w:vertAlign w:val="superscript"/>
              </w:rPr>
              <w:t>th</w:t>
            </w:r>
            <w:r>
              <w:rPr/>
              <w:t xml:space="preserve"> Avenue S.W.</w:t>
            </w:r>
          </w:p>
          <w:p>
            <w:pPr>
              <w:pStyle w:val="Normal"/>
              <w:tabs>
                <w:tab w:val="clear" w:pos="720"/>
                <w:tab w:val="center" w:pos="4680" w:leader="none"/>
              </w:tabs>
              <w:jc w:val="both"/>
              <w:rPr/>
            </w:pPr>
            <w:r>
              <w:rPr/>
              <w:t>Calgary, Alberta  T2P 4K9</w:t>
            </w:r>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Phone: 403-515-2844</w:t>
            </w:r>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  Gas Accounting</w:t>
            </w:r>
          </w:p>
        </w:tc>
      </w:tr>
      <w:tr>
        <w:trPr/>
        <w:tc>
          <w:tcPr>
            <w:tcW w:w="4971" w:type="dxa"/>
            <w:tcBorders/>
          </w:tcPr>
          <w:p>
            <w:pPr>
              <w:pStyle w:val="Justified"/>
              <w:tabs>
                <w:tab w:val="clear" w:pos="720"/>
                <w:tab w:val="center" w:pos="4680" w:leader="none"/>
              </w:tabs>
              <w:spacing w:before="0" w:after="0"/>
              <w:rPr/>
            </w:pPr>
            <w:r>
              <w:rPr/>
              <w:t>Nominations and Confirmations to ECT:</w:t>
            </w:r>
          </w:p>
        </w:tc>
        <w:tc>
          <w:tcPr>
            <w:tcW w:w="450"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 403-294-1211</w:t>
            </w:r>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971" w:type="dxa"/>
            <w:tcBorders/>
          </w:tcPr>
          <w:p>
            <w:pPr>
              <w:pStyle w:val="Normal"/>
              <w:tabs>
                <w:tab w:val="clear" w:pos="720"/>
                <w:tab w:val="center" w:pos="4680" w:leader="none"/>
              </w:tabs>
              <w:jc w:val="both"/>
              <w:rPr>
                <w:b/>
              </w:rPr>
            </w:pPr>
            <w:r>
              <w:rPr>
                <w:b/>
              </w:rPr>
              <w:t>NOMINATIONS:(800) 356-9427</w:t>
            </w:r>
          </w:p>
        </w:tc>
        <w:tc>
          <w:tcPr>
            <w:tcW w:w="450"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b/>
              </w:rPr>
            </w:pPr>
            <w:r>
              <w:rPr>
                <w:b/>
              </w:rPr>
              <w:t xml:space="preserve">NOMINATIONS AND CONFIRMATIONS TO CUSTOMER: </w:t>
            </w:r>
            <w:r>
              <w:rPr/>
              <w:t>403-294-9110</w:t>
            </w:r>
          </w:p>
        </w:tc>
      </w:tr>
      <w:tr>
        <w:trPr/>
        <w:tc>
          <w:tcPr>
            <w:tcW w:w="4971" w:type="dxa"/>
            <w:tcBorders/>
          </w:tcPr>
          <w:p>
            <w:pPr>
              <w:pStyle w:val="Normal"/>
              <w:tabs>
                <w:tab w:val="clear" w:pos="720"/>
                <w:tab w:val="center" w:pos="4680" w:leader="none"/>
              </w:tabs>
              <w:jc w:val="both"/>
              <w:rPr/>
            </w:pPr>
            <w:r>
              <w:rPr/>
              <w:t>Attn:  Operations Coordinator</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 Operations</w:t>
            </w:r>
          </w:p>
        </w:tc>
      </w:tr>
      <w:tr>
        <w:trPr/>
        <w:tc>
          <w:tcPr>
            <w:tcW w:w="4971" w:type="dxa"/>
            <w:tcBorders/>
          </w:tcPr>
          <w:p>
            <w:pPr>
              <w:pStyle w:val="Justified"/>
              <w:tabs>
                <w:tab w:val="clear" w:pos="720"/>
                <w:tab w:val="center" w:pos="4680" w:leader="none"/>
              </w:tabs>
              <w:spacing w:before="0" w:after="0"/>
              <w:rPr/>
            </w:pPr>
            <w:r>
              <w:rPr/>
              <w:t>Gas Trading (713) 646-2531</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 403-294-1211</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rPr/>
      </w:pPr>
      <w:r>
        <w:rPr>
          <w:b/>
          <w:caps/>
        </w:rPr>
        <w:t xml:space="preserve">EXHIBIT "B" TO MASTER FIRM GAS PURCHASE/SALE AGREEMENT BETWEEN ENRON NORTH AMERICA CORP. AND </w:t>
      </w:r>
      <w:r>
        <w:rPr>
          <w:b/>
          <w:caps/>
          <w:color w:val="0000FF"/>
        </w:rPr>
        <w:t>reliant energy canada services, ltd.</w:t>
      </w:r>
      <w:r>
        <w:rPr>
          <w:b/>
          <w:caps/>
        </w:rPr>
        <w:t xml:space="preserve"> DATED </w:t>
      </w:r>
      <w:r>
        <w:rPr>
          <w:b/>
          <w:caps/>
          <w:color w:val="0000FF"/>
        </w:rPr>
        <w:t>_________,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2000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2000</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color w:val="0000FF"/>
              </w:rPr>
              <w:t>RELIANT ENERGY CANADA SERVICES, LTD.</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ind w:start="720" w:end="720"/>
        <w:jc w:val="center"/>
        <w:rPr/>
      </w:pPr>
      <w:r>
        <w:rPr/>
      </w:r>
    </w:p>
    <w:sectPr>
      <w:headerReference w:type="default" r:id="rId13"/>
      <w:headerReference w:type="first" r:id="rId14"/>
      <w:footerReference w:type="default" r:id="rId15"/>
      <w:footerReference w:type="first" r:id="rId16"/>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/mnt/main-storage/datasets/enron-docs/doc/Enron_Canada_2_16_01_clean_copy.doc</w:t>
    </w:r>
    <w:r>
      <w:rPr>
        <w:sz w:val="16"/>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Enron_Canada_2_16_01_clean_copy.doc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Enron_Canada_2_16_01_clean_copy.doc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/mnt/main-storage/datasets/enron-docs/doc/Enron_Canada_2_16_01_clean_copy.doc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/mnt/main-storage/datasets/enron-docs/doc/Enron_Canada_2_16_01_clean_copy.doc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/mnt/main-storage/datasets/enron-docs/doc/Enron_Canada_2_16_01_clean_copy.doc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/mnt/main-storage/datasets/enron-docs/doc/Enron_Canada_2_16_01_clean_copy.doc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/mnt/main-storage/datasets/enron-docs/doc/Enron_Canada_2_16_01_clean_copy.doc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2z0">
    <w:name w:val="WW8Num2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1TAB">
    <w:name w:val="1 TAB"/>
    <w:basedOn w:val="Normal"/>
    <w:qFormat/>
    <w:pPr>
      <w:spacing w:before="0" w:after="240"/>
      <w:ind w:firstLine="720" w:start="0" w:end="0"/>
      <w:jc w:val="both"/>
    </w:pPr>
    <w:rPr/>
  </w:style>
  <w:style w:type="paragraph" w:styleId="TAB2">
    <w:name w:val="TAB 2"/>
    <w:basedOn w:val="Normal"/>
    <w:qFormat/>
    <w:pPr>
      <w:spacing w:before="0" w:after="240"/>
      <w:ind w:hanging="72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2001-02-19T12:56:00Z</dcterms:created>
  <dc:creator>ushah</dc:creator>
  <dc:description/>
  <cp:keywords>Master Firm Gas Purchase/Sale Agreement - CDN3109.DOC</cp:keywords>
  <dc:language>en-CA</dc:language>
  <cp:lastModifiedBy>Paramy Graff</cp:lastModifiedBy>
  <cp:lastPrinted>2001-01-09T15:38:00Z</cp:lastPrinted>
  <dcterms:modified xsi:type="dcterms:W3CDTF">2001-06-04T12:41:00Z</dcterms:modified>
  <cp:revision>4</cp:revision>
  <dc:subject>new precedent</dc:subject>
  <dc:title>Master Firm Gas Purchase/Sale Agreement</dc:title>
</cp:coreProperties>
</file>