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Ponderosa Pine Energy Partners (“Cornhusker”)</w:t>
      </w:r>
    </w:p>
    <w:p>
      <w:pPr>
        <w:pStyle w:val="Normal"/>
        <w:rPr>
          <w:rFonts w:ascii="Arial" w:hAnsi="Arial" w:cs="Arial"/>
          <w:szCs w:val="20"/>
        </w:rPr>
      </w:pPr>
      <w:r>
        <w:rPr>
          <w:rFonts w:cs="Arial" w:ascii="Arial" w:hAnsi="Arial"/>
          <w:szCs w:val="20"/>
        </w:rPr>
      </w:r>
    </w:p>
    <w:p>
      <w:pPr>
        <w:pStyle w:val="Normal"/>
        <w:rPr>
          <w:rFonts w:ascii="Arial" w:hAnsi="Arial" w:cs="Arial"/>
          <w:szCs w:val="20"/>
        </w:rPr>
      </w:pPr>
      <w:r>
        <w:rPr>
          <w:rFonts w:cs="Arial" w:ascii="Arial" w:hAnsi="Arial"/>
          <w:szCs w:val="20"/>
        </w:rPr>
        <w:t xml:space="preserve">Enron owns 10% of a 263 MW power plant selling to Brazos Electric Co-op under a long-term Purchase Power Agreement.  In addition, Enron has a call option on the remaining equity supporting a Term Loan Revolver.  </w:t>
      </w:r>
    </w:p>
    <w:p>
      <w:pPr>
        <w:pStyle w:val="Normal"/>
        <w:rPr>
          <w:rFonts w:ascii="Arial" w:hAnsi="Arial" w:cs="Arial"/>
          <w:szCs w:val="20"/>
        </w:rPr>
      </w:pPr>
      <w:r>
        <w:rPr>
          <w:rFonts w:cs="Arial" w:ascii="Arial" w:hAnsi="Arial"/>
          <w:szCs w:val="20"/>
        </w:rPr>
      </w:r>
    </w:p>
    <w:p>
      <w:pPr>
        <w:pStyle w:val="Heading2"/>
        <w:ind w:hanging="0" w:start="0"/>
        <w:rPr/>
      </w:pPr>
      <w:r>
        <w:rPr/>
        <w:t xml:space="preserve">Enron Sandhill LP </w:t>
      </w:r>
    </w:p>
    <w:p>
      <w:pPr>
        <w:pStyle w:val="Normal"/>
        <w:rPr>
          <w:rFonts w:ascii="Arial" w:hAnsi="Arial" w:cs="Arial"/>
          <w:szCs w:val="20"/>
        </w:rPr>
      </w:pPr>
      <w:r>
        <w:rPr>
          <w:rFonts w:cs="Arial" w:ascii="Arial" w:hAnsi="Arial"/>
          <w:szCs w:val="20"/>
        </w:rPr>
      </w:r>
    </w:p>
    <w:p>
      <w:pPr>
        <w:pStyle w:val="Normal"/>
        <w:rPr>
          <w:rFonts w:ascii="Arial" w:hAnsi="Arial" w:cs="Arial"/>
          <w:szCs w:val="20"/>
        </w:rPr>
      </w:pPr>
      <w:r>
        <w:rPr>
          <w:rFonts w:cs="Arial" w:ascii="Arial" w:hAnsi="Arial"/>
          <w:szCs w:val="20"/>
        </w:rPr>
        <w:t>ESLP holds an 8.6% undivided ownership interest in each of four 50 MW gas turbines at the site until November 3, 2003.  ESLP is entitled to approximately the first 25 MWs of available net output from each gas turbine plus any available net output not used by the majority owner (Austin Energy). Austin Energy acts as the QSE and dispatches the plant.</w:t>
      </w:r>
    </w:p>
    <w:p>
      <w:pPr>
        <w:pStyle w:val="Normal"/>
        <w:rPr>
          <w:rFonts w:ascii="Arial" w:hAnsi="Arial" w:cs="Arial"/>
          <w:szCs w:val="20"/>
        </w:rPr>
      </w:pPr>
      <w:r>
        <w:rPr>
          <w:rFonts w:cs="Arial" w:ascii="Arial" w:hAnsi="Arial"/>
          <w:szCs w:val="20"/>
        </w:rPr>
      </w:r>
    </w:p>
    <w:p>
      <w:pPr>
        <w:pStyle w:val="Heading2"/>
        <w:ind w:hanging="0" w:start="0"/>
        <w:rPr/>
      </w:pPr>
      <w:r>
        <w:rPr/>
        <w:t>Project Tex-Mex</w:t>
      </w:r>
    </w:p>
    <w:p>
      <w:pPr>
        <w:pStyle w:val="Normal"/>
        <w:rPr>
          <w:rFonts w:ascii="Arial" w:hAnsi="Arial" w:cs="Arial"/>
          <w:szCs w:val="20"/>
        </w:rPr>
      </w:pPr>
      <w:r>
        <w:rPr>
          <w:rFonts w:cs="Arial" w:ascii="Arial" w:hAnsi="Arial"/>
          <w:szCs w:val="20"/>
        </w:rPr>
      </w:r>
    </w:p>
    <w:p>
      <w:pPr>
        <w:pStyle w:val="Normal"/>
        <w:rPr>
          <w:rFonts w:ascii="Arial" w:hAnsi="Arial" w:cs="Arial"/>
          <w:szCs w:val="20"/>
        </w:rPr>
      </w:pPr>
      <w:r>
        <w:rPr>
          <w:rFonts w:cs="Arial" w:ascii="Arial" w:hAnsi="Arial"/>
          <w:szCs w:val="20"/>
        </w:rPr>
        <w:t>Enron filed an application for a Presidential Permit to build a 300 MW HVDC tie between ERCOT and Mexico in the Brownsville area. The Department of Energy has not yet issued the Presidential Permit.  When the Presidential Permit is issued soon, then the earliest construction could start would be sometime in Q1 2002.  The Brownsville Public Utility Board will work with Enron to develop of the project.  Goal is to export energy into Mexico to serve industrial load on CFE, although the tie could import energy into ERCOT from Mexico.</w:t>
      </w:r>
    </w:p>
    <w:p>
      <w:pPr>
        <w:pStyle w:val="Normal"/>
        <w:rPr>
          <w:rFonts w:ascii="Arial" w:hAnsi="Arial" w:cs="Arial"/>
          <w:szCs w:val="20"/>
        </w:rPr>
      </w:pPr>
      <w:r>
        <w:rPr>
          <w:rFonts w:cs="Arial" w:ascii="Arial" w:hAnsi="Arial"/>
          <w:szCs w:val="20"/>
        </w:rPr>
      </w:r>
    </w:p>
    <w:p>
      <w:pPr>
        <w:pStyle w:val="Normal"/>
        <w:rPr>
          <w:rFonts w:ascii="Arial" w:hAnsi="Arial" w:cs="Arial"/>
          <w:b/>
          <w:bCs/>
          <w:szCs w:val="20"/>
        </w:rPr>
      </w:pPr>
      <w:r>
        <w:rPr>
          <w:rFonts w:cs="Arial" w:ascii="Arial" w:hAnsi="Arial"/>
          <w:b/>
          <w:bCs/>
          <w:szCs w:val="20"/>
        </w:rPr>
        <w:t>Indian Mesa I &amp; II</w:t>
      </w:r>
    </w:p>
    <w:p>
      <w:pPr>
        <w:pStyle w:val="Normal"/>
        <w:rPr>
          <w:rFonts w:ascii="Arial" w:hAnsi="Arial" w:cs="Arial"/>
          <w:b/>
          <w:bCs/>
          <w:szCs w:val="20"/>
        </w:rPr>
      </w:pPr>
      <w:r>
        <w:rPr>
          <w:rFonts w:cs="Arial" w:ascii="Arial" w:hAnsi="Arial"/>
          <w:b/>
          <w:bCs/>
          <w:szCs w:val="20"/>
        </w:rPr>
      </w:r>
    </w:p>
    <w:p>
      <w:pPr>
        <w:pStyle w:val="Normal"/>
        <w:rPr>
          <w:rFonts w:ascii="Arial" w:hAnsi="Arial" w:cs="Arial"/>
          <w:szCs w:val="20"/>
        </w:rPr>
      </w:pPr>
      <w:r>
        <w:rPr>
          <w:rFonts w:cs="Arial" w:ascii="Arial" w:hAnsi="Arial"/>
          <w:szCs w:val="20"/>
        </w:rPr>
        <w:t>Enron Wind Projects is developing a 160 MW wind project (100 turbines * 1.6 MW) within ERCOT.  City Public Service of San Antonio has recently contracted for the the rights to the full output of the project.  In service date is expected in December 2001.  Todd Lindholm is the commercial contact – left call.</w:t>
      </w:r>
    </w:p>
    <w:p>
      <w:pPr>
        <w:pStyle w:val="Normal"/>
        <w:rPr>
          <w:rFonts w:ascii="Arial" w:hAnsi="Arial" w:cs="Arial"/>
          <w:szCs w:val="20"/>
        </w:rPr>
      </w:pPr>
      <w:r>
        <w:rPr>
          <w:rFonts w:cs="Arial" w:ascii="Arial" w:hAnsi="Arial"/>
          <w:szCs w:val="20"/>
        </w:rPr>
      </w:r>
    </w:p>
    <w:p>
      <w:pPr>
        <w:pStyle w:val="Header"/>
        <w:tabs>
          <w:tab w:val="clear" w:pos="4320"/>
          <w:tab w:val="clear" w:pos="8640"/>
        </w:tabs>
        <w:rPr>
          <w:rFonts w:ascii="Arial" w:hAnsi="Arial" w:cs="Arial"/>
          <w:b/>
          <w:bCs/>
        </w:rPr>
      </w:pPr>
      <w:r>
        <w:rPr>
          <w:rFonts w:cs="Arial" w:ascii="Arial" w:hAnsi="Arial"/>
          <w:b/>
          <w:bCs/>
        </w:rPr>
        <w:t xml:space="preserve">Frontera Project </w:t>
        <w:tab/>
      </w:r>
    </w:p>
    <w:p>
      <w:pPr>
        <w:pStyle w:val="Normal"/>
        <w:rPr>
          <w:rFonts w:ascii="Arial" w:hAnsi="Arial" w:cs="Arial"/>
          <w:b/>
          <w:bCs/>
          <w:szCs w:val="20"/>
        </w:rPr>
      </w:pPr>
      <w:r>
        <w:rPr>
          <w:rFonts w:cs="Arial" w:ascii="Arial" w:hAnsi="Arial"/>
          <w:b/>
          <w:bCs/>
          <w:szCs w:val="20"/>
        </w:rPr>
      </w:r>
    </w:p>
    <w:p>
      <w:pPr>
        <w:pStyle w:val="Normal"/>
        <w:rPr>
          <w:rFonts w:ascii="Arial" w:hAnsi="Arial" w:cs="Arial"/>
          <w:szCs w:val="20"/>
        </w:rPr>
      </w:pPr>
      <w:r>
        <w:rPr>
          <w:rFonts w:cs="Arial" w:ascii="Arial" w:hAnsi="Arial"/>
          <w:szCs w:val="20"/>
        </w:rPr>
        <w:t>We have a Services Agreement with the Frontera project.  I believe AEP is the owner.  Enron has no equity ownership, only management responsibility.</w:t>
      </w:r>
    </w:p>
    <w:p>
      <w:pPr>
        <w:pStyle w:val="Normal"/>
        <w:rPr>
          <w:rFonts w:ascii="Arial" w:hAnsi="Arial" w:cs="Arial"/>
          <w:szCs w:val="20"/>
        </w:rPr>
      </w:pPr>
      <w:r>
        <w:rPr>
          <w:rFonts w:cs="Arial" w:ascii="Arial" w:hAnsi="Arial"/>
          <w:szCs w:val="20"/>
        </w:rPr>
      </w:r>
    </w:p>
    <w:p>
      <w:pPr>
        <w:pStyle w:val="Header"/>
        <w:tabs>
          <w:tab w:val="clear" w:pos="4320"/>
          <w:tab w:val="clear" w:pos="8640"/>
        </w:tabs>
        <w:rPr>
          <w:rFonts w:ascii="Arial" w:hAnsi="Arial" w:cs="Arial"/>
          <w:b/>
          <w:bCs/>
        </w:rPr>
      </w:pPr>
      <w:r>
        <w:rPr>
          <w:rFonts w:cs="Arial" w:ascii="Arial" w:hAnsi="Arial"/>
          <w:b/>
          <w:bCs/>
        </w:rPr>
        <w:t>Texas Capacity Auction</w:t>
      </w:r>
    </w:p>
    <w:p>
      <w:pPr>
        <w:pStyle w:val="Normal"/>
        <w:rPr>
          <w:rFonts w:ascii="Arial" w:hAnsi="Arial" w:cs="Arial"/>
          <w:b/>
          <w:bCs/>
          <w:szCs w:val="20"/>
        </w:rPr>
      </w:pPr>
      <w:r>
        <w:rPr>
          <w:rFonts w:cs="Arial" w:ascii="Arial" w:hAnsi="Arial"/>
          <w:b/>
          <w:bCs/>
          <w:szCs w:val="20"/>
        </w:rPr>
      </w:r>
    </w:p>
    <w:p>
      <w:pPr>
        <w:pStyle w:val="Normal"/>
        <w:rPr>
          <w:rFonts w:ascii="Arial" w:hAnsi="Arial" w:cs="Arial"/>
          <w:szCs w:val="20"/>
        </w:rPr>
      </w:pPr>
      <w:r>
        <w:rPr>
          <w:rFonts w:cs="Arial" w:ascii="Arial" w:hAnsi="Arial"/>
          <w:szCs w:val="20"/>
        </w:rPr>
        <w:t>1 Year Strip</w:t>
        <w:tab/>
        <w:tab/>
        <w:t>250 MW</w:t>
      </w:r>
    </w:p>
    <w:p>
      <w:pPr>
        <w:pStyle w:val="Normal"/>
        <w:rPr>
          <w:rFonts w:ascii="Arial" w:hAnsi="Arial" w:cs="Arial"/>
          <w:szCs w:val="20"/>
        </w:rPr>
      </w:pPr>
      <w:r>
        <w:rPr>
          <w:rFonts w:cs="Arial" w:ascii="Arial" w:hAnsi="Arial"/>
          <w:szCs w:val="20"/>
        </w:rPr>
        <w:t>2 Year Strip</w:t>
        <w:tab/>
        <w:tab/>
        <w:t>25   MW</w:t>
      </w:r>
    </w:p>
    <w:p>
      <w:pPr>
        <w:pStyle w:val="Normal"/>
        <w:rPr>
          <w:rFonts w:ascii="Arial" w:hAnsi="Arial" w:cs="Arial"/>
          <w:szCs w:val="20"/>
        </w:rPr>
      </w:pPr>
      <w:r>
        <w:rPr>
          <w:rFonts w:cs="Arial" w:ascii="Arial" w:hAnsi="Arial"/>
          <w:szCs w:val="20"/>
        </w:rPr>
      </w:r>
    </w:p>
    <w:p>
      <w:pPr>
        <w:pStyle w:val="Normal"/>
        <w:rPr>
          <w:rFonts w:ascii="Arial" w:hAnsi="Arial" w:cs="Arial"/>
          <w:b/>
          <w:bCs/>
        </w:rPr>
      </w:pPr>
      <w:r>
        <w:rPr>
          <w:rFonts w:cs="Arial" w:ascii="Arial" w:hAnsi="Arial"/>
          <w:b/>
          <w:bCs/>
        </w:rPr>
        <w:t>Other</w:t>
      </w:r>
    </w:p>
    <w:p>
      <w:pPr>
        <w:pStyle w:val="Normal"/>
        <w:rPr>
          <w:rFonts w:ascii="Arial" w:hAnsi="Arial" w:cs="Arial"/>
          <w:b/>
          <w:bCs/>
          <w:szCs w:val="20"/>
        </w:rPr>
      </w:pPr>
      <w:r>
        <w:rPr>
          <w:rFonts w:cs="Arial" w:ascii="Arial" w:hAnsi="Arial"/>
          <w:b/>
          <w:bCs/>
          <w:szCs w:val="20"/>
        </w:rPr>
      </w:r>
    </w:p>
    <w:p>
      <w:pPr>
        <w:pStyle w:val="Normal"/>
        <w:rPr>
          <w:rFonts w:ascii="Arial" w:hAnsi="Arial" w:cs="Arial"/>
          <w:szCs w:val="20"/>
        </w:rPr>
      </w:pPr>
      <w:r>
        <w:rPr>
          <w:rFonts w:cs="Arial" w:ascii="Arial" w:hAnsi="Arial"/>
          <w:szCs w:val="20"/>
        </w:rPr>
        <w:t>We also have assorted asset management deals but they amount to advisory roles.   In addition, we have long-term PPAs and options on QF capacity.</w:t>
      </w:r>
    </w:p>
    <w:p>
      <w:pPr>
        <w:pStyle w:val="Normal"/>
        <w:rPr>
          <w:rFonts w:ascii="Arial" w:hAnsi="Arial" w:cs="Arial"/>
          <w:szCs w:val="20"/>
        </w:rPr>
      </w:pPr>
      <w:r>
        <w:rPr>
          <w:rFonts w:cs="Arial" w:ascii="Arial" w:hAnsi="Arial"/>
          <w:szCs w:val="20"/>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Enron Assets in ERCOT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b/>
      <w:bCs/>
      <w:sz w:val="2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2001-11-14T10:59:00Z</dcterms:created>
  <dc:creator>jsteffe</dc:creator>
  <dc:description/>
  <dc:language>en-CA</dc:language>
  <cp:lastModifiedBy>jsteffe</cp:lastModifiedBy>
  <cp:lastPrinted>2001-11-14T10:41:00Z</cp:lastPrinted>
  <dcterms:modified xsi:type="dcterms:W3CDTF">2001-11-14T15:28:00Z</dcterms:modified>
  <cp:revision>3</cp:revision>
  <dc:subject/>
  <dc:title>Ponderosa Pine is the Cleburne IPP that we purchased from Tenaska last year--it is sometimes called "Cornhusker"</dc:title>
</cp:coreProperties>
</file>