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Enron Asks FERC To Reject Calif Cost-Based Price Caps</w:t>
      </w:r>
      <w:r>
        <w:rPr/>
        <w:br/>
        <w:t>By Mark Golden</w:t>
        <w:br/>
        <w:t xml:space="preserve">  </w:t>
        <w:br/>
        <w:t xml:space="preserve">10/31/2000 </w:t>
        <w:br/>
        <w:t xml:space="preserve">Dow Jones Energy Service </w:t>
        <w:br/>
        <w:t xml:space="preserve">(Copyright (c) 2000, Dow Jones &amp; Company, Inc.) </w:t>
      </w:r>
    </w:p>
    <w:p>
      <w:pPr>
        <w:pStyle w:val="NormalWeb"/>
        <w:rPr/>
      </w:pPr>
      <w:r>
        <w:rPr/>
        <w:t>NEW YORK -(Dow Jones)- Enron Corp (ENE) asked the U.S. Federal Energy Regulatory Commission Tuesday to reject California</w:t>
      </w:r>
      <w:r>
        <w:rPr>
          <w:b/>
          <w:bCs/>
        </w:rPr>
        <w:t xml:space="preserve"> </w:t>
      </w:r>
      <w:r>
        <w:rPr/>
        <w:t xml:space="preserve">'s price caps on wholesale power and aggressively move forward to foster electricity-industry deregulation. </w:t>
      </w:r>
    </w:p>
    <w:p>
      <w:pPr>
        <w:pStyle w:val="NormalWeb"/>
        <w:rPr/>
      </w:pPr>
      <w:r>
        <w:rPr/>
        <w:t>In a letter to FERC commissioners made available by Enron, Enron Chairman and Chief Executive Kenneth Lay says that the variable price-cap mechanism approved Thursday by the California</w:t>
      </w:r>
      <w:r>
        <w:rPr>
          <w:b/>
          <w:bCs/>
        </w:rPr>
        <w:t xml:space="preserve"> </w:t>
      </w:r>
      <w:r>
        <w:rPr/>
        <w:t xml:space="preserve">Independent System Operator sets prices below generators' costs and threatens to drive power producers out of the state. </w:t>
      </w:r>
    </w:p>
    <w:p>
      <w:pPr>
        <w:pStyle w:val="NormalWeb"/>
        <w:rPr/>
      </w:pPr>
      <w:r>
        <w:rPr/>
        <w:t xml:space="preserve">Lay says FERC should reject the caps, which he calls "politically expedient," and instead "take a big step toward fundamental structural reform." </w:t>
      </w:r>
    </w:p>
    <w:p>
      <w:pPr>
        <w:pStyle w:val="NormalWeb"/>
        <w:rPr/>
      </w:pPr>
      <w:r>
        <w:rPr/>
        <w:t>Last week, the California</w:t>
      </w:r>
      <w:r>
        <w:rPr>
          <w:b/>
          <w:bCs/>
        </w:rPr>
        <w:t xml:space="preserve"> </w:t>
      </w:r>
      <w:r>
        <w:rPr/>
        <w:t xml:space="preserve">ISO, which operates most of the state's power grid and one of the state's wholesale power markets, approved new price caps that move lower as demand falls, taking into account the price of natural gas, which is the main cost of operating gas-fired plants. </w:t>
      </w:r>
    </w:p>
    <w:p>
      <w:pPr>
        <w:pStyle w:val="NormalWeb"/>
        <w:rPr/>
      </w:pPr>
      <w:r>
        <w:rPr/>
        <w:t xml:space="preserve">Under the new formula, the ISO's price cap would change monthly based on the closing price of the main gas futures contract traded at the New York Mercantile Exchange and then hourly depending on the state's electricity demand. </w:t>
      </w:r>
    </w:p>
    <w:p>
      <w:pPr>
        <w:pStyle w:val="NormalWeb"/>
        <w:rPr/>
      </w:pPr>
      <w:r>
        <w:rPr/>
        <w:t xml:space="preserve">Lay says the formula "caps prices below the cost of gas-fired generation, making obvious errors such as failing to take into account gas transportation costs." </w:t>
      </w:r>
    </w:p>
    <w:p>
      <w:pPr>
        <w:pStyle w:val="NormalWeb"/>
        <w:rPr/>
      </w:pPr>
      <w:r>
        <w:rPr/>
        <w:t xml:space="preserve">The new price cap "invites generators to shut in production, export power out of state, and deploy their turbines in other states or countries," Lay writes. </w:t>
      </w:r>
    </w:p>
    <w:p>
      <w:pPr>
        <w:pStyle w:val="NormalWeb"/>
        <w:rPr/>
      </w:pPr>
      <w:r>
        <w:rPr/>
        <w:t xml:space="preserve">FERC should end its reliance on shortsighted price caps, Lay says, and focus instead on ensuring equal access to the nation's high-voltage transmission grid. FERC must end the special priority given for utility uses of the system and require the separation of "monopoly transmission assets" from other utility businesses, Lays says. </w:t>
      </w:r>
    </w:p>
    <w:p>
      <w:pPr>
        <w:pStyle w:val="NormalWeb"/>
        <w:rPr/>
      </w:pPr>
      <w:r>
        <w:rPr/>
        <w:t xml:space="preserve">In the letter, Lay complains that utilities have been free to slow the interconnection of new generators, favor their own sales over those of competitors and miscalculate available transmission capacity. </w:t>
      </w:r>
    </w:p>
    <w:p>
      <w:pPr>
        <w:pStyle w:val="NormalWeb"/>
        <w:rPr/>
      </w:pPr>
      <w:r>
        <w:rPr/>
        <w:t xml:space="preserve">This past summer, wholesale power prices in the western U.S. were triple what they were last summer. Rising demand amid little new capacity, coupled with market-structure problems, have been cited as the main cause of the price escalation. </w:t>
      </w:r>
    </w:p>
    <w:p>
      <w:pPr>
        <w:pStyle w:val="NormalWeb"/>
        <w:rPr/>
      </w:pPr>
      <w:r>
        <w:rPr/>
        <w:t xml:space="preserve">California's utilities, politicians and the major consumer group have said that independent power producers have been illegally gouging the utilities and consumers. Wholesale power prices remain much higher than historical levels.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Mark Golden, Dow Jones Newswires; 201-938-4604;</w:t>
      </w:r>
    </w:p>
    <w:p>
      <w:pPr>
        <w:pStyle w:val="HTMLPreformatted"/>
        <w:rPr>
          <w:rFonts w:ascii="Lucida Console" w:hAnsi="Lucida Console" w:cs="Lucida Console"/>
          <w:sz w:val="15"/>
          <w:szCs w:val="15"/>
        </w:rPr>
      </w:pPr>
      <w:r>
        <w:rPr>
          <w:rFonts w:cs="Lucida Console" w:ascii="Lucida Console" w:hAnsi="Lucida Console"/>
          <w:sz w:val="15"/>
          <w:szCs w:val="15"/>
        </w:rPr>
        <w:t>mark.golden@dowjones.com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2s.djnr.com/cgi-bin/DJInteractive?cgi=WEB_PUB_DETAILS&amp;GJANum=271773351&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2000-10-31T15:40:00Z</dcterms:created>
  <dc:creator>mbuster</dc:creator>
  <dc:description/>
  <dc:language>en-CA</dc:language>
  <cp:lastModifiedBy>mbuster</cp:lastModifiedBy>
  <dcterms:modified xsi:type="dcterms:W3CDTF">2000-10-31T15:44:00Z</dcterms:modified>
  <cp:revision>1</cp:revision>
  <dc:subject/>
  <dc:title> </dc:title>
</cp:coreProperties>
</file>