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ascii="Arial" w:hAnsi="Arial" w:cs="Arial"/>
          <w:sz w:val="24"/>
        </w:rPr>
      </w:pPr>
      <w:r>
        <w:rPr>
          <w:rFonts w:eastAsia="Arial" w:cs="Arial" w:ascii="Arial" w:hAnsi="Arial"/>
          <w:sz w:val="24"/>
        </w:rPr>
        <w:t xml:space="preserve"> </w:t>
      </w:r>
      <w:r>
        <w:rPr>
          <w:rFonts w:cs="Arial" w:ascii="Arial" w:hAnsi="Arial"/>
          <w:sz w:val="24"/>
        </w:rPr>
        <w:drawing>
          <wp:inline distT="0" distB="0" distL="0" distR="0">
            <wp:extent cx="617855" cy="6140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12" r="-12" b="-12"/>
                    <a:stretch>
                      <a:fillRect/>
                    </a:stretch>
                  </pic:blipFill>
                  <pic:spPr bwMode="auto">
                    <a:xfrm>
                      <a:off x="0" y="0"/>
                      <a:ext cx="617855" cy="614045"/>
                    </a:xfrm>
                    <a:prstGeom prst="rect">
                      <a:avLst/>
                    </a:prstGeom>
                    <a:noFill/>
                  </pic:spPr>
                </pic:pic>
              </a:graphicData>
            </a:graphic>
          </wp:inline>
        </w:drawing>
      </w:r>
    </w:p>
    <w:p>
      <w:pPr>
        <w:pStyle w:val="Header"/>
        <w:tabs>
          <w:tab w:val="clear" w:pos="4320"/>
          <w:tab w:val="clear" w:pos="8640"/>
        </w:tabs>
        <w:rPr>
          <w:rFonts w:ascii="Arial" w:hAnsi="Arial" w:cs="Arial"/>
          <w:sz w:val="24"/>
          <w:u w:val="single"/>
        </w:rPr>
      </w:pPr>
      <w:r>
        <w:rPr>
          <w:rFonts w:cs="Arial" w:ascii="Arial" w:hAnsi="Arial"/>
          <w:sz w:val="24"/>
          <w:u w:val="single"/>
        </w:rPr>
      </w:r>
    </w:p>
    <w:p>
      <w:pPr>
        <w:pStyle w:val="Heading1"/>
        <w:ind w:hanging="0" w:start="0"/>
        <w:rPr>
          <w:u w:val="single"/>
        </w:rPr>
      </w:pPr>
      <w:r>
        <w:rPr>
          <w:u w:val="single"/>
        </w:rPr>
        <w:t>MEMORANDUM</w:t>
      </w:r>
    </w:p>
    <w:p>
      <w:pPr>
        <w:pStyle w:val="Normal"/>
        <w:rPr>
          <w:rFonts w:ascii="Arial" w:hAnsi="Arial" w:cs="Arial"/>
          <w:sz w:val="24"/>
        </w:rPr>
      </w:pPr>
      <w:r>
        <w:rPr>
          <w:rFonts w:cs="Arial" w:ascii="Arial" w:hAnsi="Arial"/>
          <w:sz w:val="24"/>
        </w:rPr>
      </w:r>
    </w:p>
    <w:tbl>
      <w:tblPr>
        <w:tblW w:w="8118" w:type="dxa"/>
        <w:jc w:val="start"/>
        <w:tblInd w:w="0" w:type="dxa"/>
        <w:tblLayout w:type="fixed"/>
        <w:tblCellMar>
          <w:top w:w="0" w:type="dxa"/>
          <w:start w:w="108" w:type="dxa"/>
          <w:bottom w:w="0" w:type="dxa"/>
          <w:end w:w="108" w:type="dxa"/>
        </w:tblCellMar>
      </w:tblPr>
      <w:tblGrid>
        <w:gridCol w:w="8118"/>
      </w:tblGrid>
      <w:tr>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TO:</w:t>
              <w:tab/>
              <w:t>James V. Derrick</w:t>
            </w:r>
          </w:p>
          <w:p>
            <w:pPr>
              <w:pStyle w:val="Normal"/>
              <w:tabs>
                <w:tab w:val="clear" w:pos="720"/>
                <w:tab w:val="left" w:pos="1440" w:leader="none"/>
              </w:tabs>
              <w:rPr>
                <w:rFonts w:ascii="Arial" w:hAnsi="Arial" w:cs="Arial"/>
                <w:sz w:val="24"/>
              </w:rPr>
            </w:pPr>
            <w:r>
              <w:rPr>
                <w:rFonts w:cs="Arial" w:ascii="Arial" w:hAnsi="Arial"/>
                <w:sz w:val="24"/>
              </w:rPr>
              <w:tab/>
              <w:t>John Novack</w:t>
            </w:r>
          </w:p>
          <w:p>
            <w:pPr>
              <w:pStyle w:val="Normal"/>
              <w:tabs>
                <w:tab w:val="clear" w:pos="720"/>
                <w:tab w:val="left" w:pos="1440" w:leader="none"/>
              </w:tabs>
              <w:rPr>
                <w:rFonts w:ascii="Arial" w:hAnsi="Arial" w:cs="Arial"/>
                <w:sz w:val="24"/>
              </w:rPr>
            </w:pPr>
            <w:r>
              <w:rPr>
                <w:rFonts w:cs="Arial" w:ascii="Arial" w:hAnsi="Arial"/>
                <w:sz w:val="24"/>
              </w:rPr>
              <w:tab/>
              <w:t>Mark Haedicke</w:t>
            </w:r>
          </w:p>
          <w:p>
            <w:pPr>
              <w:pStyle w:val="Normal"/>
              <w:rPr>
                <w:rFonts w:ascii="Arial" w:hAnsi="Arial" w:cs="Arial"/>
                <w:sz w:val="24"/>
              </w:rPr>
            </w:pPr>
            <w:r>
              <w:rPr>
                <w:rFonts w:cs="Arial" w:ascii="Arial" w:hAnsi="Arial"/>
                <w:sz w:val="24"/>
              </w:rPr>
              <w:tab/>
              <w:tab/>
              <w:t>Rob Walls</w:t>
            </w:r>
          </w:p>
          <w:p>
            <w:pPr>
              <w:pStyle w:val="Normal"/>
              <w:rPr>
                <w:rFonts w:ascii="Arial" w:hAnsi="Arial" w:cs="Arial"/>
                <w:sz w:val="24"/>
              </w:rPr>
            </w:pPr>
            <w:r>
              <w:rPr>
                <w:rFonts w:cs="Arial" w:ascii="Arial" w:hAnsi="Arial"/>
                <w:sz w:val="24"/>
              </w:rPr>
            </w:r>
          </w:p>
        </w:tc>
      </w:tr>
      <w:tr>
        <w:trPr>
          <w:trHeight w:val="522" w:hRule="atLeast"/>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FROM:</w:t>
              <w:tab/>
              <w:t>Michelle Blaine</w:t>
            </w:r>
          </w:p>
          <w:p>
            <w:pPr>
              <w:pStyle w:val="Normal"/>
              <w:tabs>
                <w:tab w:val="clear" w:pos="720"/>
                <w:tab w:val="left" w:pos="1440" w:leader="none"/>
              </w:tabs>
              <w:rPr>
                <w:rFonts w:ascii="Arial" w:hAnsi="Arial" w:cs="Arial"/>
                <w:sz w:val="24"/>
              </w:rPr>
            </w:pPr>
            <w:r>
              <w:rPr>
                <w:rFonts w:cs="Arial" w:ascii="Arial" w:hAnsi="Arial"/>
                <w:sz w:val="24"/>
              </w:rPr>
              <w:tab/>
              <w:t>Gail M. Brownfeld</w:t>
            </w:r>
          </w:p>
        </w:tc>
      </w:tr>
      <w:tr>
        <w:trPr>
          <w:trHeight w:val="80" w:hRule="atLeast"/>
        </w:trPr>
        <w:tc>
          <w:tcPr>
            <w:tcW w:w="8118" w:type="dxa"/>
            <w:tcBorders/>
          </w:tcPr>
          <w:p>
            <w:pPr>
              <w:pStyle w:val="Heading5"/>
              <w:keepNext w:val="false"/>
              <w:tabs>
                <w:tab w:val="clear" w:pos="720"/>
                <w:tab w:val="left" w:pos="1440" w:leader="none"/>
              </w:tabs>
              <w:snapToGrid w:val="false"/>
              <w:ind w:hanging="0" w:start="0"/>
              <w:rPr>
                <w:rFonts w:ascii="Arial" w:hAnsi="Arial" w:cs="Arial"/>
                <w:b w:val="false"/>
                <w:sz w:val="24"/>
              </w:rPr>
            </w:pPr>
            <w:r>
              <w:rPr>
                <w:rFonts w:cs="Arial"/>
                <w:b w:val="false"/>
                <w:sz w:val="24"/>
              </w:rPr>
            </w:r>
          </w:p>
        </w:tc>
      </w:tr>
      <w:tr>
        <w:trPr>
          <w:trHeight w:val="80" w:hRule="atLeast"/>
        </w:trPr>
        <w:tc>
          <w:tcPr>
            <w:tcW w:w="8118" w:type="dxa"/>
            <w:tcBorders/>
          </w:tcPr>
          <w:p>
            <w:pPr>
              <w:pStyle w:val="Heading5"/>
              <w:keepNext w:val="false"/>
              <w:tabs>
                <w:tab w:val="clear" w:pos="720"/>
                <w:tab w:val="left" w:pos="1440" w:leader="none"/>
              </w:tabs>
              <w:ind w:hanging="0" w:start="0"/>
              <w:rPr>
                <w:b w:val="false"/>
              </w:rPr>
            </w:pPr>
            <w:r>
              <w:rPr>
                <w:b w:val="false"/>
              </w:rPr>
              <w:t>DATE:</w:t>
              <w:tab/>
              <w:t>April 17, 2001</w:t>
            </w:r>
          </w:p>
        </w:tc>
      </w:tr>
      <w:tr>
        <w:trPr>
          <w:trHeight w:val="80" w:hRule="atLeast"/>
        </w:trPr>
        <w:tc>
          <w:tcPr>
            <w:tcW w:w="8118" w:type="dxa"/>
            <w:tcBorders/>
          </w:tcPr>
          <w:p>
            <w:pPr>
              <w:pStyle w:val="Heading5"/>
              <w:keepNext w:val="false"/>
              <w:tabs>
                <w:tab w:val="clear" w:pos="720"/>
                <w:tab w:val="left" w:pos="1440" w:leader="none"/>
              </w:tabs>
              <w:snapToGrid w:val="false"/>
              <w:ind w:hanging="0" w:start="0"/>
              <w:rPr>
                <w:rFonts w:ascii="Arial" w:hAnsi="Arial" w:cs="Arial"/>
                <w:b w:val="false"/>
                <w:sz w:val="24"/>
              </w:rPr>
            </w:pPr>
            <w:r>
              <w:rPr>
                <w:rFonts w:cs="Arial"/>
                <w:b w:val="false"/>
                <w:sz w:val="24"/>
              </w:rPr>
            </w:r>
          </w:p>
        </w:tc>
      </w:tr>
      <w:tr>
        <w:trPr>
          <w:trHeight w:val="80" w:hRule="atLeast"/>
        </w:trPr>
        <w:tc>
          <w:tcPr>
            <w:tcW w:w="8118" w:type="dxa"/>
            <w:tcBorders/>
          </w:tcPr>
          <w:p>
            <w:pPr>
              <w:pStyle w:val="Heading5"/>
              <w:keepNext w:val="false"/>
              <w:tabs>
                <w:tab w:val="clear" w:pos="720"/>
                <w:tab w:val="left" w:pos="1440" w:leader="none"/>
              </w:tabs>
              <w:ind w:hanging="0" w:start="0"/>
              <w:rPr/>
            </w:pPr>
            <w:r>
              <w:rPr>
                <w:b w:val="false"/>
              </w:rPr>
              <w:t>RE:</w:t>
            </w:r>
            <w:r>
              <w:rPr/>
              <w:tab/>
            </w:r>
            <w:r>
              <w:rPr>
                <w:b w:val="false"/>
              </w:rPr>
              <w:t>Enron Americas</w:t>
            </w:r>
          </w:p>
        </w:tc>
      </w:tr>
    </w:tbl>
    <w:p>
      <w:pPr>
        <w:pStyle w:val="Normal"/>
        <w:tabs>
          <w:tab w:val="clear" w:pos="720"/>
          <w:tab w:val="left" w:pos="9270" w:leader="none"/>
        </w:tabs>
        <w:rPr>
          <w:rFonts w:ascii="Arial" w:hAnsi="Arial" w:cs="Arial"/>
          <w:sz w:val="24"/>
          <w:u w:val="single"/>
        </w:rPr>
      </w:pPr>
      <w:r>
        <w:rPr>
          <w:rFonts w:cs="Arial" w:ascii="Arial" w:hAnsi="Arial"/>
          <w:sz w:val="24"/>
          <w:u w:val="single"/>
        </w:rPr>
        <w:tab/>
      </w:r>
    </w:p>
    <w:p>
      <w:pPr>
        <w:pStyle w:val="Normal"/>
        <w:rPr>
          <w:rFonts w:ascii="Arial" w:hAnsi="Arial" w:cs="Arial"/>
          <w:sz w:val="24"/>
          <w:u w:val="single"/>
        </w:rPr>
      </w:pPr>
      <w:r>
        <w:rPr>
          <w:rFonts w:cs="Arial" w:ascii="Arial" w:hAnsi="Arial"/>
          <w:sz w:val="24"/>
          <w:u w:val="single"/>
        </w:rPr>
      </w:r>
    </w:p>
    <w:p>
      <w:pPr>
        <w:pStyle w:val="BodyText"/>
        <w:tabs>
          <w:tab w:val="left" w:pos="720" w:leader="none"/>
          <w:tab w:val="left" w:pos="1170" w:leader="none"/>
          <w:tab w:val="left" w:pos="8370" w:leader="none"/>
        </w:tabs>
        <w:rPr/>
      </w:pPr>
      <w:r>
        <w:rPr/>
        <w:tab/>
        <w:t xml:space="preserve">This summary describes the commercial litigation, arbitrations, disputes and claims we are currently handling.  Personal injury and property damage matters are included in the Enron Litigation Unit report and are not reported here.  </w:t>
      </w:r>
      <w:r>
        <w:rPr>
          <w:color w:val="000000"/>
        </w:rPr>
        <w:t xml:space="preserve">Unless otherwise noted, Enron's interest is </w:t>
      </w:r>
      <w:r>
        <w:rPr>
          <w:b/>
          <w:color w:val="000000"/>
          <w:u w:val="single"/>
        </w:rPr>
        <w:t>100%</w:t>
      </w:r>
      <w:r>
        <w:rPr>
          <w:color w:val="000000"/>
        </w:rPr>
        <w:t xml:space="preserve">, claims are </w:t>
      </w:r>
      <w:r>
        <w:rPr>
          <w:b/>
          <w:color w:val="000000"/>
          <w:u w:val="single"/>
        </w:rPr>
        <w:t>uninsured</w:t>
      </w:r>
      <w:r>
        <w:rPr>
          <w:color w:val="000000"/>
        </w:rPr>
        <w:t xml:space="preserve">, </w:t>
      </w:r>
      <w:r>
        <w:rPr/>
        <w:t xml:space="preserve">exposure amounts are </w:t>
      </w:r>
      <w:r>
        <w:rPr>
          <w:b/>
          <w:u w:val="single"/>
        </w:rPr>
        <w:t>8/8ths</w:t>
      </w:r>
      <w:r>
        <w:rPr/>
        <w:t xml:space="preserve">, </w:t>
      </w:r>
      <w:r>
        <w:rPr>
          <w:color w:val="000000"/>
        </w:rPr>
        <w:t xml:space="preserve">and amounts are in local currency and/or approximate </w:t>
      </w:r>
      <w:r>
        <w:rPr>
          <w:b/>
          <w:color w:val="000000"/>
          <w:u w:val="single"/>
        </w:rPr>
        <w:t>U.S. dollars</w:t>
      </w:r>
      <w:r>
        <w:rPr>
          <w:color w:val="000000"/>
        </w:rPr>
        <w:t>.</w:t>
      </w:r>
    </w:p>
    <w:p>
      <w:pPr>
        <w:pStyle w:val="Normal"/>
        <w:tabs>
          <w:tab w:val="clear" w:pos="720"/>
          <w:tab w:val="left" w:pos="1080" w:leader="none"/>
          <w:tab w:val="left" w:pos="8370" w:leader="none"/>
        </w:tabs>
        <w:jc w:val="both"/>
        <w:rPr>
          <w:rFonts w:ascii="Arial" w:hAnsi="Arial" w:cs="Arial"/>
          <w:sz w:val="24"/>
        </w:rPr>
      </w:pPr>
      <w:r>
        <w:rPr>
          <w:rFonts w:cs="Arial" w:ascii="Arial" w:hAnsi="Arial"/>
          <w:sz w:val="24"/>
        </w:rPr>
      </w:r>
    </w:p>
    <w:p>
      <w:pPr>
        <w:pStyle w:val="Heading4"/>
        <w:keepLines/>
        <w:numPr>
          <w:ilvl w:val="0"/>
          <w:numId w:val="3"/>
        </w:numPr>
        <w:rPr>
          <w:b/>
          <w:u w:val="none"/>
        </w:rPr>
      </w:pPr>
      <w:r>
        <w:rPr>
          <w:b/>
          <w:u w:val="none"/>
        </w:rPr>
        <w:t>CLAIMS/DISPUTES</w:t>
      </w:r>
    </w:p>
    <w:p>
      <w:pPr>
        <w:pStyle w:val="Normal"/>
        <w:keepNext w:val="true"/>
        <w:keepLines/>
        <w:ind w:start="720" w:end="0"/>
        <w:rPr>
          <w:rFonts w:ascii="Arial" w:hAnsi="Arial" w:cs="Arial"/>
          <w:b/>
          <w:sz w:val="24"/>
          <w:u w:val="none"/>
        </w:rPr>
      </w:pPr>
      <w:r>
        <w:rPr>
          <w:rFonts w:cs="Arial" w:ascii="Arial" w:hAnsi="Arial"/>
          <w:b/>
          <w:sz w:val="24"/>
          <w:u w:val="none"/>
        </w:rPr>
      </w:r>
    </w:p>
    <w:p>
      <w:pPr>
        <w:pStyle w:val="Normal"/>
        <w:keepNext w:val="true"/>
        <w:keepLines/>
        <w:tabs>
          <w:tab w:val="clear" w:pos="720"/>
          <w:tab w:val="left" w:pos="1080" w:leader="none"/>
          <w:tab w:val="left" w:pos="7740" w:leader="none"/>
          <w:tab w:val="left" w:pos="7920" w:leader="none"/>
        </w:tabs>
        <w:ind w:start="720" w:end="-720"/>
        <w:jc w:val="both"/>
        <w:rPr>
          <w:rFonts w:ascii="Arial" w:hAnsi="Arial" w:cs="Arial"/>
          <w:b/>
          <w:sz w:val="24"/>
        </w:rPr>
      </w:pPr>
      <w:r>
        <w:rPr>
          <w:rFonts w:cs="Arial" w:ascii="Arial" w:hAnsi="Arial"/>
          <w:b/>
          <w:sz w:val="24"/>
        </w:rPr>
        <w:t>Central Piedra Buena Dispute</w:t>
        <w:tab/>
        <w:t>(Updated)</w:t>
      </w:r>
    </w:p>
    <w:p>
      <w:pPr>
        <w:pStyle w:val="Normal"/>
        <w:keepNext w:val="true"/>
        <w:keepLines/>
        <w:tabs>
          <w:tab w:val="clear" w:pos="720"/>
          <w:tab w:val="left" w:pos="1080" w:leader="none"/>
          <w:tab w:val="left" w:pos="7740" w:leader="none"/>
        </w:tabs>
        <w:ind w:start="720" w:end="0"/>
        <w:jc w:val="both"/>
        <w:rPr/>
      </w:pPr>
      <w:r>
        <w:rPr>
          <w:rFonts w:cs="Arial" w:ascii="Arial" w:hAnsi="Arial"/>
          <w:sz w:val="24"/>
        </w:rPr>
        <w:t>(Guido Tawil/M.&amp;M. Bomchil) (</w:t>
      </w:r>
      <w:r>
        <w:rPr>
          <w:rFonts w:cs="Arial" w:ascii="Arial" w:hAnsi="Arial"/>
          <w:b/>
          <w:bCs/>
          <w:sz w:val="24"/>
        </w:rPr>
        <w:t>$3.4 million</w:t>
      </w:r>
      <w:r>
        <w:rPr>
          <w:rFonts w:cs="Arial" w:ascii="Arial" w:hAnsi="Arial"/>
          <w:sz w:val="24"/>
        </w:rPr>
        <w:t>)</w:t>
      </w:r>
    </w:p>
    <w:p>
      <w:pPr>
        <w:pStyle w:val="Normal"/>
        <w:keepNext w:val="true"/>
        <w:keepLines/>
        <w:tabs>
          <w:tab w:val="clear" w:pos="720"/>
          <w:tab w:val="left" w:pos="1080" w:leader="none"/>
          <w:tab w:val="left" w:pos="7740" w:leader="none"/>
        </w:tabs>
        <w:ind w:start="720" w:end="0"/>
        <w:jc w:val="both"/>
        <w:rPr>
          <w:rFonts w:ascii="Arial" w:hAnsi="Arial" w:cs="Arial"/>
          <w:sz w:val="24"/>
        </w:rPr>
      </w:pPr>
      <w:r>
        <w:rPr>
          <w:rFonts w:cs="Arial" w:ascii="Arial" w:hAnsi="Arial"/>
          <w:sz w:val="24"/>
        </w:rPr>
      </w:r>
    </w:p>
    <w:p>
      <w:pPr>
        <w:pStyle w:val="Normal"/>
        <w:keepNext w:val="true"/>
        <w:keepLines/>
        <w:numPr>
          <w:ilvl w:val="0"/>
          <w:numId w:val="2"/>
        </w:numPr>
        <w:tabs>
          <w:tab w:val="clear" w:pos="720"/>
          <w:tab w:val="left" w:pos="7740" w:leader="none"/>
        </w:tabs>
        <w:jc w:val="both"/>
        <w:rPr>
          <w:rFonts w:ascii="Arial" w:hAnsi="Arial" w:cs="Arial"/>
          <w:bCs/>
          <w:sz w:val="24"/>
        </w:rPr>
      </w:pPr>
      <w:r>
        <w:rPr>
          <w:rFonts w:cs="Arial" w:ascii="Arial" w:hAnsi="Arial"/>
          <w:sz w:val="24"/>
        </w:rPr>
        <w:t xml:space="preserve">Central Piedra Buena (“CPB”) has refused to pay invoices submitted by Enron America del Sur S.A. claiming that it was improperly invoiced for gas and that, in fact, Enron may owe it unspecified amounts </w:t>
      </w:r>
      <w:r>
        <w:rPr>
          <w:rFonts w:cs="Arial" w:ascii="Arial" w:hAnsi="Arial"/>
          <w:bCs/>
          <w:sz w:val="24"/>
        </w:rPr>
        <w:t>in excess of what</w:t>
      </w:r>
      <w:r>
        <w:rPr>
          <w:rFonts w:cs="Arial" w:ascii="Arial" w:hAnsi="Arial"/>
          <w:b/>
          <w:sz w:val="24"/>
        </w:rPr>
        <w:t xml:space="preserve"> </w:t>
      </w:r>
      <w:r>
        <w:rPr>
          <w:rFonts w:cs="Arial" w:ascii="Arial" w:hAnsi="Arial"/>
          <w:bCs/>
          <w:sz w:val="24"/>
        </w:rPr>
        <w:t>Enron claims it is owed for failing to properly administer the subject transactions.</w:t>
      </w:r>
    </w:p>
    <w:p>
      <w:pPr>
        <w:pStyle w:val="Normal"/>
        <w:numPr>
          <w:ilvl w:val="0"/>
          <w:numId w:val="2"/>
        </w:numPr>
        <w:tabs>
          <w:tab w:val="clear" w:pos="720"/>
          <w:tab w:val="left" w:pos="7740" w:leader="none"/>
        </w:tabs>
        <w:jc w:val="both"/>
        <w:rPr>
          <w:rFonts w:ascii="Arial" w:hAnsi="Arial" w:cs="Arial"/>
          <w:b/>
          <w:sz w:val="24"/>
        </w:rPr>
      </w:pPr>
      <w:r>
        <w:rPr>
          <w:rFonts w:cs="Arial" w:ascii="Arial" w:hAnsi="Arial"/>
          <w:b/>
          <w:sz w:val="24"/>
        </w:rPr>
        <w:t>Enron’s settlement negotiations with CPB were unsuccessful and Enron is preparing an arbitration demand to be filed against CPB.</w:t>
      </w:r>
    </w:p>
    <w:p>
      <w:pPr>
        <w:pStyle w:val="Normal"/>
        <w:numPr>
          <w:ilvl w:val="0"/>
          <w:numId w:val="2"/>
        </w:numPr>
        <w:tabs>
          <w:tab w:val="clear" w:pos="720"/>
          <w:tab w:val="left" w:pos="7740" w:leader="none"/>
        </w:tabs>
        <w:jc w:val="both"/>
        <w:rPr>
          <w:rFonts w:ascii="Arial" w:hAnsi="Arial" w:cs="Arial"/>
          <w:b/>
          <w:sz w:val="24"/>
        </w:rPr>
      </w:pPr>
      <w:r>
        <w:rPr>
          <w:rFonts w:cs="Arial" w:ascii="Arial" w:hAnsi="Arial"/>
          <w:b/>
          <w:sz w:val="24"/>
        </w:rPr>
        <w:t>Enron is also negotiating with Total, another counterparty to the subject gas transactions, to whom most of the money owed by CPB will be paid, to pay a portion of the legal costs Enron will incur in pursuing CPB.</w:t>
      </w:r>
    </w:p>
    <w:p>
      <w:pPr>
        <w:pStyle w:val="Normal"/>
        <w:numPr>
          <w:ilvl w:val="0"/>
          <w:numId w:val="2"/>
        </w:numPr>
        <w:tabs>
          <w:tab w:val="clear" w:pos="720"/>
          <w:tab w:val="left" w:pos="7740" w:leader="none"/>
        </w:tabs>
        <w:jc w:val="both"/>
        <w:rPr>
          <w:rFonts w:ascii="Arial" w:hAnsi="Arial" w:cs="Arial"/>
          <w:b/>
          <w:sz w:val="24"/>
        </w:rPr>
      </w:pPr>
      <w:r>
        <w:rPr>
          <w:rFonts w:cs="Arial" w:ascii="Arial" w:hAnsi="Arial"/>
          <w:b/>
          <w:sz w:val="24"/>
        </w:rPr>
        <w:t>The parties’ contract requires that the arbitration be governed by the ICC rules, occur in Buenos Aires and be heard in both English and Spanish.  The contract also requires that the law of Argentina apply.</w:t>
      </w:r>
    </w:p>
    <w:p>
      <w:pPr>
        <w:pStyle w:val="Normal"/>
        <w:tabs>
          <w:tab w:val="clear" w:pos="720"/>
          <w:tab w:val="left" w:pos="540" w:leader="none"/>
        </w:tabs>
        <w:ind w:hanging="540" w:start="1260" w:end="0"/>
        <w:rPr>
          <w:rFonts w:ascii="Arial" w:hAnsi="Arial" w:cs="Arial"/>
          <w:b/>
          <w:bCs/>
          <w:sz w:val="24"/>
        </w:rPr>
      </w:pPr>
      <w:r>
        <w:rPr>
          <w:rFonts w:cs="Arial" w:ascii="Arial" w:hAnsi="Arial"/>
          <w:b/>
          <w:bCs/>
          <w:sz w:val="24"/>
        </w:rPr>
      </w:r>
    </w:p>
    <w:p>
      <w:pPr>
        <w:pStyle w:val="Normal"/>
        <w:jc w:val="both"/>
        <w:rPr>
          <w:rFonts w:ascii="Arial" w:hAnsi="Arial" w:cs="Arial"/>
          <w:sz w:val="24"/>
        </w:rPr>
      </w:pPr>
      <w:r>
        <w:rPr>
          <w:rFonts w:cs="Arial" w:ascii="Arial" w:hAnsi="Arial"/>
          <w:sz w:val="24"/>
        </w:rPr>
        <w:t>cc:</w:t>
        <w:tab/>
        <w:t>James McCartney</w:t>
      </w:r>
    </w:p>
    <w:p>
      <w:pPr>
        <w:pStyle w:val="Normal"/>
        <w:jc w:val="both"/>
        <w:rPr/>
      </w:pPr>
      <w:r>
        <w:rPr>
          <w:rFonts w:cs="Arial" w:ascii="Arial" w:hAnsi="Arial"/>
          <w:color w:val="000000"/>
          <w:sz w:val="24"/>
        </w:rPr>
        <w:tab/>
      </w:r>
      <w:r>
        <w:rPr>
          <w:rFonts w:cs="Arial" w:ascii="Arial" w:hAnsi="Arial"/>
          <w:sz w:val="24"/>
        </w:rPr>
        <w:t>Rex Rogers</w:t>
      </w:r>
    </w:p>
    <w:p>
      <w:pPr>
        <w:pStyle w:val="Heading3"/>
        <w:ind w:hanging="0" w:start="0"/>
        <w:rPr/>
      </w:pPr>
      <w:r>
        <w:rPr/>
        <w:tab/>
        <w:t>Richard Sanders</w:t>
        <w:tab/>
        <w:t xml:space="preserve"> </w:t>
        <w:tab/>
      </w:r>
    </w:p>
    <w:sectPr>
      <w:headerReference w:type="default" r:id="rId3"/>
      <w:headerReference w:type="first" r:id="rId4"/>
      <w:footerReference w:type="default" r:id="rId5"/>
      <w:footerReference w:type="first" r:id="rId6"/>
      <w:type w:val="nextPage"/>
      <w:pgSz w:w="12240" w:h="15840"/>
      <w:pgMar w:left="1440" w:right="144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0</w:t>
    </w:r>
    <w:r>
      <w:rPr>
        <w:rStyle w:val="PageNumber"/>
        <w:sz w:val="22"/>
        <w:rFonts w:cs="Arial" w:ascii="Arial" w:hAnsi="Arial"/>
      </w:rPr>
      <w:fldChar w:fldCharType="end"/>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/mnt/main-storage/datasets/enron-docs/doc/Enron_Americas_April.doc</w:t>
    </w:r>
    <w:r>
      <w:rPr>
        <w:sz w:val="12"/>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/mnt/main-storage/datasets/enron-docs/doc/Enron_Americas_April.doc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b/>
      </w:rPr>
      <w:t>Attorney/Client Privileged Confidential Communication</w:t>
    </w:r>
  </w:p>
  <w:p>
    <w:pPr>
      <w:pStyle w:val="Header"/>
      <w:jc w:val="end"/>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Attorney/Client Privileged Confidential Communication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upperRoman"/>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ind w:hanging="720" w:start="2160" w:end="0"/>
      <w:outlineLvl w:val="1"/>
    </w:pPr>
    <w:rPr>
      <w:rFonts w:ascii="Arial" w:hAnsi="Arial" w:cs="Arial"/>
      <w:sz w:val="24"/>
    </w:rPr>
  </w:style>
  <w:style w:type="paragraph" w:styleId="Heading3">
    <w:name w:val="heading 3"/>
    <w:basedOn w:val="Normal"/>
    <w:next w:val="Normal"/>
    <w:qFormat/>
    <w:pPr>
      <w:keepNext w:val="true"/>
      <w:numPr>
        <w:ilvl w:val="2"/>
        <w:numId w:val="1"/>
      </w:numPr>
      <w:jc w:val="both"/>
      <w:outlineLvl w:val="2"/>
    </w:pPr>
    <w:rPr>
      <w:rFonts w:ascii="Arial" w:hAnsi="Arial" w:cs="Arial"/>
      <w:sz w:val="24"/>
    </w:rPr>
  </w:style>
  <w:style w:type="paragraph" w:styleId="Heading4">
    <w:name w:val="heading 4"/>
    <w:basedOn w:val="Normal"/>
    <w:next w:val="Normal"/>
    <w:qFormat/>
    <w:pPr>
      <w:keepNext w:val="true"/>
      <w:numPr>
        <w:ilvl w:val="3"/>
        <w:numId w:val="1"/>
      </w:numPr>
      <w:jc w:val="both"/>
      <w:outlineLvl w:val="3"/>
    </w:pPr>
    <w:rPr>
      <w:rFonts w:ascii="Arial" w:hAnsi="Arial" w:cs="Arial"/>
      <w:sz w:val="24"/>
      <w:u w:val="single"/>
    </w:rPr>
  </w:style>
  <w:style w:type="paragraph" w:styleId="Heading5">
    <w:name w:val="heading 5"/>
    <w:basedOn w:val="Normal"/>
    <w:next w:val="Normal"/>
    <w:qFormat/>
    <w:pPr>
      <w:keepNext w:val="true"/>
      <w:numPr>
        <w:ilvl w:val="4"/>
        <w:numId w:val="1"/>
      </w:numPr>
      <w:outlineLvl w:val="4"/>
    </w:pPr>
    <w:rPr>
      <w:rFonts w:ascii="Arial" w:hAnsi="Arial" w:cs="Arial"/>
      <w:b/>
      <w:sz w:val="24"/>
    </w:rPr>
  </w:style>
  <w:style w:type="character" w:styleId="WW8Num2z0">
    <w:name w:val="WW8Num2z0"/>
    <w:qFormat/>
    <w:rPr>
      <w:u w:val="none"/>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u w:val="none"/>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color w:val="auto"/>
      <w:sz w:val="16"/>
    </w:rPr>
  </w:style>
  <w:style w:type="character" w:styleId="WW8Num45z0">
    <w:name w:val="WW8Num45z0"/>
    <w:qFormat/>
    <w:rPr>
      <w:b w:val="false"/>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color w:val="auto"/>
      <w:sz w:val="16"/>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u w:val="none"/>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color w:val="auto"/>
      <w:sz w:val="16"/>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sz w:val="24"/>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b/>
      <w:i w:val="false"/>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sz w:val="24"/>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sz w:val="24"/>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sz w:val="24"/>
    </w:rPr>
  </w:style>
  <w:style w:type="character" w:styleId="WW8Num112z0">
    <w:name w:val="WW8Num112z0"/>
    <w:qFormat/>
    <w:rPr/>
  </w:style>
  <w:style w:type="character" w:styleId="WW8Num113z0">
    <w:name w:val="WW8Num113z0"/>
    <w:qFormat/>
    <w:rPr>
      <w:rFonts w:ascii="Symbol" w:hAnsi="Symbol" w:cs="Symbol"/>
    </w:rPr>
  </w:style>
  <w:style w:type="character" w:styleId="WW8Num114z0">
    <w:name w:val="WW8Num114z0"/>
    <w:qFormat/>
    <w:rPr>
      <w:rFonts w:ascii="Symbol" w:hAnsi="Symbol" w:cs="Symbol"/>
      <w:sz w:val="24"/>
    </w:rPr>
  </w:style>
  <w:style w:type="character" w:styleId="WW8Num115z0">
    <w:name w:val="WW8Num115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sz w:val="24"/>
    </w:rPr>
  </w:style>
  <w:style w:type="character" w:styleId="WW8Num145z0">
    <w:name w:val="WW8Num145z0"/>
    <w:qFormat/>
    <w:rPr>
      <w:rFonts w:ascii="Symbol" w:hAnsi="Symbol" w:cs="Symbol"/>
      <w:sz w:val="24"/>
    </w:rPr>
  </w:style>
  <w:style w:type="character" w:styleId="WW8Num146z0">
    <w:name w:val="WW8Num146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sz w:val="24"/>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u w:val="none"/>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sz w:val="24"/>
    </w:rPr>
  </w:style>
  <w:style w:type="character" w:styleId="WW8Num171z0">
    <w:name w:val="WW8Num171z0"/>
    <w:qFormat/>
    <w:rPr>
      <w:rFonts w:ascii="Symbol" w:hAnsi="Symbol" w:cs="Symbol"/>
      <w:sz w:val="24"/>
    </w:rPr>
  </w:style>
  <w:style w:type="character" w:styleId="WW8Num172z0">
    <w:name w:val="WW8Num172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sz w:val="24"/>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u w:val="none"/>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sz w:val="24"/>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color w:val="auto"/>
      <w:sz w:val="16"/>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color w:val="auto"/>
      <w:sz w:val="16"/>
    </w:rPr>
  </w:style>
  <w:style w:type="character" w:styleId="WW8Num234z0">
    <w:name w:val="WW8Num234z0"/>
    <w:qFormat/>
    <w:rPr>
      <w:rFonts w:ascii="Symbol" w:hAnsi="Symbol" w:cs="Symbol"/>
      <w:sz w:val="24"/>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1z1">
    <w:name w:val="WW8Num251z1"/>
    <w:qFormat/>
    <w:rPr>
      <w:rFonts w:ascii="Courier New" w:hAnsi="Courier New" w:cs="Courier New"/>
    </w:rPr>
  </w:style>
  <w:style w:type="character" w:styleId="WW8Num251z2">
    <w:name w:val="WW8Num251z2"/>
    <w:qFormat/>
    <w:rPr>
      <w:rFonts w:ascii="Wingdings" w:hAnsi="Wingdings" w:cs="Wingdings"/>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u w:val="none"/>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u w:val="none"/>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style>
  <w:style w:type="character" w:styleId="WW8Num305z0">
    <w:name w:val="WW8Num305z0"/>
    <w:qFormat/>
    <w:rPr>
      <w:rFonts w:ascii="Symbol" w:hAnsi="Symbol" w:cs="Symbol"/>
    </w:rPr>
  </w:style>
  <w:style w:type="character" w:styleId="WW8Num306z0">
    <w:name w:val="WW8Num306z0"/>
    <w:qFormat/>
    <w:rPr>
      <w:rFonts w:ascii="Symbol" w:hAnsi="Symbol" w:cs="Symbol"/>
      <w:color w:val="auto"/>
      <w:sz w:val="16"/>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b/>
      <w:i w:val="false"/>
      <w:u w:val="none"/>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u w:val="none"/>
    </w:rPr>
  </w:style>
  <w:style w:type="character" w:styleId="WW8Num325z0">
    <w:name w:val="WW8Num325z0"/>
    <w:qFormat/>
    <w:rPr>
      <w:rFonts w:ascii="Symbol" w:hAnsi="Symbol" w:cs="Symbol"/>
    </w:rPr>
  </w:style>
  <w:style w:type="character" w:styleId="WW8Num326z0">
    <w:name w:val="WW8Num326z0"/>
    <w:qFormat/>
    <w:rPr>
      <w:rFonts w:ascii="Symbol" w:hAnsi="Symbol" w:cs="Symbol"/>
      <w:sz w:val="24"/>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Symbol" w:hAnsi="Symbol" w:cs="Symbol"/>
      <w:sz w:val="24"/>
    </w:rPr>
  </w:style>
  <w:style w:type="character" w:styleId="WW8Num343z0">
    <w:name w:val="WW8Num343z0"/>
    <w:qFormat/>
    <w:rPr>
      <w:rFonts w:ascii="Symbol" w:hAnsi="Symbol" w:cs="Symbol"/>
    </w:rPr>
  </w:style>
  <w:style w:type="character" w:styleId="WW8Num345z0">
    <w:name w:val="WW8Num345z0"/>
    <w:qFormat/>
    <w:rPr>
      <w:u w:val="none"/>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sz w:val="24"/>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rFonts w:ascii="Symbol" w:hAnsi="Symbol" w:cs="Symbol"/>
      <w:sz w:val="24"/>
    </w:rPr>
  </w:style>
  <w:style w:type="character" w:styleId="WW8Num380z0">
    <w:name w:val="WW8Num380z0"/>
    <w:qFormat/>
    <w:rPr>
      <w:u w:val="none"/>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1z0">
    <w:name w:val="WW8Num401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Symbol" w:hAnsi="Symbol" w:cs="Symbol"/>
      <w:sz w:val="24"/>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u w:val="none"/>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3z0">
    <w:name w:val="WW8Num433z0"/>
    <w:qFormat/>
    <w:rPr/>
  </w:style>
  <w:style w:type="character" w:styleId="WW8Num434z0">
    <w:name w:val="WW8Num434z0"/>
    <w:qFormat/>
    <w:rPr>
      <w:u w:val="none"/>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sz w:val="24"/>
    </w:rPr>
  </w:style>
  <w:style w:type="character" w:styleId="WW8Num439z0">
    <w:name w:val="WW8Num439z0"/>
    <w:qFormat/>
    <w:rPr>
      <w:rFonts w:ascii="Symbol" w:hAnsi="Symbol" w:cs="Symbol"/>
    </w:rPr>
  </w:style>
  <w:style w:type="character" w:styleId="WW8Num440z0">
    <w:name w:val="WW8Num440z0"/>
    <w:qFormat/>
    <w:rPr/>
  </w:style>
  <w:style w:type="character" w:styleId="WW8Num441z0">
    <w:name w:val="WW8Num441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b/>
      <w:i w:val="false"/>
    </w:rPr>
  </w:style>
  <w:style w:type="character" w:styleId="WW8Num455z0">
    <w:name w:val="WW8Num455z0"/>
    <w:qFormat/>
    <w:rPr>
      <w:rFonts w:ascii="Symbol" w:hAnsi="Symbol" w:cs="Symbol"/>
    </w:rPr>
  </w:style>
  <w:style w:type="character" w:styleId="WW8Num456z0">
    <w:name w:val="WW8Num456z0"/>
    <w:qFormat/>
    <w:rPr>
      <w:rFonts w:ascii="Symbol" w:hAnsi="Symbol" w:cs="Symbol"/>
      <w:color w:val="auto"/>
      <w:sz w:val="16"/>
    </w:rPr>
  </w:style>
  <w:style w:type="character" w:styleId="WW8Num457z0">
    <w:name w:val="WW8Num457z0"/>
    <w:qFormat/>
    <w:rPr>
      <w:b/>
      <w:i w:val="false"/>
      <w:u w:val="none"/>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style>
  <w:style w:type="character" w:styleId="WW8Num465z0">
    <w:name w:val="WW8Num465z0"/>
    <w:qFormat/>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u w:val="none"/>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style>
  <w:style w:type="character" w:styleId="WW8Num490z0">
    <w:name w:val="WW8Num490z0"/>
    <w:qFormat/>
    <w:rPr>
      <w:rFonts w:ascii="Symbol" w:hAnsi="Symbol" w:cs="Symbol"/>
    </w:rPr>
  </w:style>
  <w:style w:type="character" w:styleId="WW8NumSt16z0">
    <w:name w:val="WW8NumSt16z0"/>
    <w:qFormat/>
    <w:rPr>
      <w:rFonts w:ascii="Symbol" w:hAnsi="Symbol" w:cs="Symbol"/>
    </w:rPr>
  </w:style>
  <w:style w:type="character" w:styleId="WW8NumSt111z0">
    <w:name w:val="WW8NumSt1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2001-04-17T17:53:00Z</dcterms:created>
  <dc:creator>EI</dc:creator>
  <dc:description/>
  <dc:language>en-CA</dc:language>
  <cp:lastModifiedBy>jcooley</cp:lastModifiedBy>
  <cp:lastPrinted>2001-04-17T15:24:00Z</cp:lastPrinted>
  <dcterms:modified xsi:type="dcterms:W3CDTF">2001-04-17T18:05:00Z</dcterms:modified>
  <cp:revision>5</cp:revision>
  <dc:subject/>
  <dc:title> </dc:title>
</cp:coreProperties>
</file>