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747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VELogo" w:hAnsi="VELogo" w:cs="VELogo"/>
          <w:sz w:val="48"/>
        </w:rPr>
      </w:pPr>
      <w:r>
        <w:rPr>
          <w:rFonts w:cs="VELogo" w:ascii="VELogo" w:hAnsi="VELogo"/>
          <w:sz w:val="48"/>
        </w:rPr>
        <w:t>&amp;</w:t>
      </w:r>
    </w:p>
    <w:p>
      <w:pPr>
        <w:pStyle w:val="Normal"/>
        <w:numPr>
          <w:ilvl w:val="0"/>
          <w:numId w:val="0"/>
        </w:numPr>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z w:val="48"/>
        </w:rPr>
      </w:pPr>
      <w:r>
        <w:fldChar w:fldCharType="begin"/>
      </w:r>
      <w:r>
        <w:rPr/>
        <w:instrText xml:space="preserve">ADVANCE \d 1"</w:instrText>
      </w:r>
      <w:r>
        <w:rPr/>
      </w:r>
      <w:r>
        <w:rPr/>
        <w:fldChar w:fldCharType="separate"/>
      </w:r>
      <w:r>
        <w:rPr/>
      </w:r>
      <w:r>
        <w:rPr/>
      </w:r>
      <w:r>
        <w:rPr/>
        <w:fldChar w:fldCharType="end"/>
      </w:r>
      <w:r>
        <w:fldChar w:fldCharType="begin"/>
      </w:r>
      <w:r>
        <w:rPr/>
        <w:instrText xml:space="preserve">ADVANCE \d 2"</w:instrText>
      </w:r>
      <w:r>
        <w:rPr/>
      </w:r>
      <w:r>
        <w:rPr/>
        <w:fldChar w:fldCharType="separate"/>
      </w:r>
      <w:r>
        <w:rPr/>
      </w:r>
      <w:r>
        <w:rPr/>
      </w:r>
      <w:r>
        <w:rPr/>
        <w:fldChar w:fldCharType="end"/>
      </w:r>
      <w:r>
        <w:rPr>
          <w:rFonts w:cs="Humanst521 Lt BT" w:ascii="Humanst521 Lt BT" w:hAnsi="Humanst521 Lt BT"/>
          <w:spacing w:val="9"/>
          <w:sz w:val="16"/>
        </w:rPr>
        <w:t>ATTORNEYS AT LAW</w:t>
      </w:r>
    </w:p>
    <w:p>
      <w:pPr>
        <w:pStyle w:val="Normal"/>
        <w:numPr>
          <w:ilvl w:val="0"/>
          <w:numId w:val="0"/>
        </w:numPr>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r>
    </w:p>
    <w:p>
      <w:pPr>
        <w:pStyle w:val="Normal"/>
        <w:numPr>
          <w:ilvl w:val="0"/>
          <w:numId w:val="0"/>
        </w:numPr>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t>VINSON &amp; ELKINS L.L.P.</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9"/>
          <w:sz w:val="12"/>
        </w:rPr>
      </w:pPr>
      <w:r>
        <w:rPr>
          <w:rFonts w:cs="Humanst521 Lt BT" w:ascii="Humanst521 Lt BT" w:hAnsi="Humanst521 Lt BT"/>
          <w:spacing w:val="19"/>
          <w:sz w:val="12"/>
        </w:rPr>
        <w:t>1325 AVENUE OF THE AMERICAS</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pPr>
      <w:r>
        <w:rPr>
          <w:rFonts w:cs="Humanst521 Lt BT" w:ascii="Humanst521 Lt BT" w:hAnsi="Humanst521 Lt BT"/>
          <w:spacing w:val="19"/>
          <w:sz w:val="12"/>
        </w:rPr>
        <w:t>17</w:t>
      </w:r>
      <w:r>
        <w:rPr>
          <w:rFonts w:cs="Humanst521 Lt BT" w:ascii="Humanst521 Lt BT" w:hAnsi="Humanst521 Lt BT"/>
          <w:spacing w:val="19"/>
          <w:sz w:val="12"/>
          <w:vertAlign w:val="superscript"/>
        </w:rPr>
        <w:t>TH</w:t>
      </w:r>
      <w:r>
        <w:rPr>
          <w:rFonts w:cs="Humanst521 Lt BT" w:ascii="Humanst521 Lt BT" w:hAnsi="Humanst521 Lt BT"/>
          <w:spacing w:val="19"/>
          <w:sz w:val="12"/>
        </w:rPr>
        <w:t xml:space="preserve"> FLOOR</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pPr>
      <w:r>
        <w:fldChar w:fldCharType="begin"/>
      </w:r>
      <w:r>
        <w:rPr>
          <w:sz w:val="12"/>
          <w:spacing w:val="19"/>
          <w:rFonts w:cs="Humanst521 BT" w:ascii="Humanst521 BT" w:hAnsi="Humanst521 BT"/>
        </w:rPr>
        <w:instrText xml:space="preserve">ADVANCE \d 0"</w:instrText>
      </w:r>
      <w:r>
        <w:rPr>
          <w:rFonts w:cs="Humanst521 BT" w:ascii="Humanst521 BT" w:hAnsi="Humanst521 BT"/>
          <w:spacing w:val="19"/>
          <w:sz w:val="12"/>
        </w:rPr>
      </w:r>
      <w:r>
        <w:rPr>
          <w:sz w:val="12"/>
          <w:spacing w:val="19"/>
          <w:rFonts w:cs="Humanst521 BT" w:ascii="Humanst521 BT" w:hAnsi="Humanst521 BT"/>
        </w:rPr>
        <w:fldChar w:fldCharType="separate"/>
      </w:r>
      <w:r>
        <w:rPr>
          <w:rFonts w:cs="Humanst521 BT" w:ascii="Humanst521 BT" w:hAnsi="Humanst521 BT"/>
          <w:spacing w:val="19"/>
          <w:sz w:val="12"/>
        </w:rPr>
      </w:r>
      <w:r>
        <w:rPr>
          <w:rFonts w:cs="Humanst521 BT" w:ascii="Humanst521 BT" w:hAnsi="Humanst521 BT"/>
          <w:spacing w:val="19"/>
          <w:sz w:val="12"/>
        </w:rPr>
      </w:r>
      <w:r>
        <w:rPr>
          <w:sz w:val="12"/>
          <w:spacing w:val="19"/>
          <w:rFonts w:cs="Humanst521 BT" w:ascii="Humanst521 BT" w:hAnsi="Humanst521 BT"/>
        </w:rPr>
        <w:fldChar w:fldCharType="end"/>
      </w:r>
      <w:r>
        <w:fldChar w:fldCharType="begin"/>
      </w:r>
      <w:r>
        <w:rPr>
          <w:sz w:val="12"/>
          <w:spacing w:val="19"/>
          <w:rFonts w:cs="Humanst521 BT" w:ascii="Humanst521 BT" w:hAnsi="Humanst521 BT"/>
        </w:rPr>
        <w:instrText xml:space="preserve">ADVANCE \d 0"</w:instrText>
      </w:r>
      <w:r>
        <w:rPr>
          <w:rFonts w:cs="Humanst521 BT" w:ascii="Humanst521 BT" w:hAnsi="Humanst521 BT"/>
          <w:spacing w:val="19"/>
          <w:sz w:val="12"/>
        </w:rPr>
      </w:r>
      <w:r>
        <w:rPr>
          <w:sz w:val="12"/>
          <w:spacing w:val="19"/>
          <w:rFonts w:cs="Humanst521 BT" w:ascii="Humanst521 BT" w:hAnsi="Humanst521 BT"/>
        </w:rPr>
        <w:fldChar w:fldCharType="separate"/>
      </w:r>
      <w:r>
        <w:rPr>
          <w:rFonts w:cs="Humanst521 BT" w:ascii="Humanst521 BT" w:hAnsi="Humanst521 BT"/>
          <w:spacing w:val="19"/>
          <w:sz w:val="12"/>
        </w:rPr>
      </w:r>
      <w:r>
        <w:rPr>
          <w:rFonts w:cs="Humanst521 BT" w:ascii="Humanst521 BT" w:hAnsi="Humanst521 BT"/>
          <w:spacing w:val="19"/>
          <w:sz w:val="12"/>
        </w:rPr>
      </w:r>
      <w:r>
        <w:rPr>
          <w:sz w:val="12"/>
          <w:spacing w:val="19"/>
          <w:rFonts w:cs="Humanst521 BT" w:ascii="Humanst521 BT" w:hAnsi="Humanst521 BT"/>
        </w:rPr>
        <w:fldChar w:fldCharType="end"/>
      </w:r>
      <w:r>
        <w:fldChar w:fldCharType="begin"/>
      </w:r>
      <w:r>
        <w:rPr>
          <w:sz w:val="12"/>
          <w:spacing w:val="19"/>
          <w:rFonts w:cs="Humanst521 BT" w:ascii="Humanst521 BT" w:hAnsi="Humanst521 BT"/>
        </w:rPr>
        <w:instrText xml:space="preserve">ADVANCE \d 1"</w:instrText>
      </w:r>
      <w:r>
        <w:rPr>
          <w:rFonts w:cs="Humanst521 BT" w:ascii="Humanst521 BT" w:hAnsi="Humanst521 BT"/>
          <w:spacing w:val="19"/>
          <w:sz w:val="12"/>
        </w:rPr>
      </w:r>
      <w:r>
        <w:rPr>
          <w:sz w:val="12"/>
          <w:spacing w:val="19"/>
          <w:rFonts w:cs="Humanst521 BT" w:ascii="Humanst521 BT" w:hAnsi="Humanst521 BT"/>
        </w:rPr>
        <w:fldChar w:fldCharType="separate"/>
      </w:r>
      <w:r>
        <w:rPr>
          <w:rFonts w:cs="Humanst521 BT" w:ascii="Humanst521 BT" w:hAnsi="Humanst521 BT"/>
          <w:spacing w:val="19"/>
          <w:sz w:val="12"/>
        </w:rPr>
      </w:r>
      <w:r>
        <w:rPr>
          <w:rFonts w:cs="Humanst521 BT" w:ascii="Humanst521 BT" w:hAnsi="Humanst521 BT"/>
          <w:spacing w:val="19"/>
          <w:sz w:val="12"/>
        </w:rPr>
      </w:r>
      <w:r>
        <w:rPr>
          <w:sz w:val="12"/>
          <w:spacing w:val="19"/>
          <w:rFonts w:cs="Humanst521 BT" w:ascii="Humanst521 BT" w:hAnsi="Humanst521 BT"/>
        </w:rPr>
        <w:fldChar w:fldCharType="end"/>
      </w:r>
      <w:r>
        <w:rPr>
          <w:rFonts w:cs="Humanst521 BT" w:ascii="Humanst521 BT" w:hAnsi="Humanst521 BT"/>
          <w:spacing w:val="19"/>
          <w:sz w:val="12"/>
        </w:rPr>
        <w:tab/>
      </w:r>
      <w:r>
        <w:rPr>
          <w:rFonts w:cs="Humanst521 BT" w:ascii="Humanst521 BT" w:hAnsi="Humanst521 BT"/>
          <w:b/>
          <w:spacing w:val="19"/>
          <w:sz w:val="14"/>
        </w:rPr>
        <w:t>NEW YORK, NEW YORK  10019</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pPr>
      <w:r>
        <w:fldChar w:fldCharType="begin"/>
      </w:r>
      <w:r>
        <w:rPr>
          <w:sz w:val="12"/>
          <w:spacing w:val="19"/>
          <w:rFonts w:cs="Arial" w:ascii="Arial" w:hAnsi="Arial"/>
        </w:rPr>
        <w:instrText xml:space="preserve">ADVANCE \d 1"</w:instrText>
      </w:r>
      <w:r>
        <w:rPr>
          <w:rFonts w:cs="Arial" w:ascii="Arial" w:hAnsi="Arial"/>
          <w:spacing w:val="19"/>
          <w:sz w:val="12"/>
        </w:rPr>
      </w:r>
      <w:r>
        <w:rPr>
          <w:sz w:val="12"/>
          <w:spacing w:val="19"/>
          <w:rFonts w:cs="Arial" w:ascii="Arial" w:hAnsi="Arial"/>
        </w:rPr>
        <w:fldChar w:fldCharType="separate"/>
      </w:r>
      <w:r>
        <w:rPr>
          <w:rFonts w:cs="Arial" w:ascii="Arial" w:hAnsi="Arial"/>
          <w:spacing w:val="19"/>
          <w:sz w:val="12"/>
        </w:rPr>
      </w:r>
      <w:r>
        <w:rPr>
          <w:rFonts w:cs="Arial" w:ascii="Arial" w:hAnsi="Arial"/>
          <w:spacing w:val="19"/>
          <w:sz w:val="12"/>
        </w:rPr>
      </w:r>
      <w:r>
        <w:rPr>
          <w:sz w:val="12"/>
          <w:spacing w:val="19"/>
          <w:rFonts w:cs="Arial" w:ascii="Arial" w:hAnsi="Arial"/>
        </w:rPr>
        <w:fldChar w:fldCharType="end"/>
      </w:r>
      <w:r>
        <w:rPr>
          <w:rFonts w:cs="Humanst521 Lt BT" w:ascii="Humanst521 Lt BT" w:hAnsi="Humanst521 Lt BT"/>
          <w:spacing w:val="19"/>
          <w:sz w:val="12"/>
        </w:rPr>
        <w:t>TELEPHONE (917) 206-8000</w:t>
      </w:r>
    </w:p>
    <w:p>
      <w:pPr>
        <w:pStyle w:val="Normal"/>
        <w:tabs>
          <w:tab w:val="left" w:pos="-1440" w:leader="none"/>
          <w:tab w:val="left" w:pos="-720" w:leader="none"/>
          <w:tab w:val="left" w:pos="1" w:leader="none"/>
          <w:tab w:val="left" w:pos="720" w:leader="none"/>
          <w:tab w:val="left" w:pos="1440" w:leader="none"/>
          <w:tab w:val="left" w:pos="81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5"/>
          <w:sz w:val="16"/>
        </w:rPr>
      </w:pPr>
      <w:r>
        <w:rPr>
          <w:rFonts w:cs="Humanst521 Lt BT" w:ascii="Humanst521 Lt BT" w:hAnsi="Humanst521 Lt BT"/>
          <w:spacing w:val="19"/>
          <w:sz w:val="12"/>
        </w:rPr>
        <w:t>FAX (917) 206-8100</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6"/>
          <w:sz w:val="13"/>
        </w:rPr>
      </w:pPr>
      <w:r>
        <w:rPr>
          <w:rFonts w:cs="Humanst521 Lt BT" w:ascii="Humanst521 Lt BT" w:hAnsi="Humanst521 Lt BT"/>
          <w:spacing w:val="5"/>
          <w:sz w:val="16"/>
        </w:rPr>
        <w:t>www.vinson-elkins.com</w:t>
      </w:r>
    </w:p>
    <w:p>
      <w:pPr>
        <w:pStyle w:val="Normal"/>
        <w:tabs>
          <w:tab w:val="left" w:pos="-1440" w:leader="none"/>
          <w:tab w:val="left" w:pos="-720" w:leader="none"/>
          <w:tab w:val="left" w:pos="1" w:leader="none"/>
          <w:tab w:val="left" w:pos="720" w:leader="none"/>
          <w:tab w:val="left" w:pos="84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Arial" w:hAnsi="Arial" w:cs="Arial"/>
          <w:sz w:val="12"/>
        </w:rPr>
      </w:pPr>
      <w:r>
        <w:rPr>
          <w:rFonts w:cs="Humanst521 Lt BT" w:ascii="Humanst521 Lt BT" w:hAnsi="Humanst521 Lt BT"/>
          <w:spacing w:val="16"/>
          <w:sz w:val="12"/>
        </w:rPr>
        <w:t>WRITER'S TELEPHONE</w:t>
        <w:tab/>
      </w:r>
      <w:r>
        <w:rPr>
          <w:rFonts w:cs="Humanst521 Lt BT" w:ascii="Humanst521 Lt BT" w:hAnsi="Humanst521 Lt BT"/>
          <w:i/>
          <w:spacing w:val="16"/>
          <w:sz w:val="12"/>
        </w:rPr>
        <w:t>WRITER'S  FAX</w:t>
      </w:r>
    </w:p>
    <w:p>
      <w:pPr>
        <w:pStyle w:val="Normal"/>
        <w:tabs>
          <w:tab w:val="center" w:pos="720" w:leader="none"/>
          <w:tab w:val="center" w:pos="8910" w:leader="none"/>
        </w:tabs>
        <w:spacing w:lineRule="atLeast" w:line="283"/>
        <w:rPr>
          <w:sz w:val="16"/>
        </w:rPr>
      </w:pPr>
      <w:r>
        <w:rPr>
          <w:sz w:val="16"/>
        </w:rPr>
        <w:tab/>
      </w:r>
      <w:bookmarkStart w:id="0" w:name="SenderPhone"/>
      <w:bookmarkEnd w:id="0"/>
      <w:r>
        <w:rPr>
          <w:sz w:val="16"/>
        </w:rPr>
        <w:t>(917) 206-8000</w:t>
        <w:tab/>
      </w:r>
      <w:bookmarkStart w:id="1" w:name="SenderFax"/>
      <w:bookmarkEnd w:id="1"/>
      <w:r>
        <w:rPr>
          <w:sz w:val="16"/>
        </w:rPr>
        <w:t>(917) 206-8100</w:t>
      </w:r>
    </w:p>
    <w:p>
      <w:pPr>
        <w:pStyle w:val="Normal"/>
        <w:tabs>
          <w:tab w:val="clear" w:pos="720"/>
          <w:tab w:val="center" w:pos="691" w:leader="none"/>
          <w:tab w:val="center" w:pos="8899" w:leader="none"/>
        </w:tabs>
        <w:spacing w:lineRule="atLeast" w:line="283"/>
        <w:jc w:val="center"/>
        <w:rPr/>
      </w:pPr>
      <w:r>
        <w:rPr/>
        <w:t>September [    ], 2000</w:t>
      </w:r>
    </w:p>
    <w:p>
      <w:pPr>
        <w:pStyle w:val="Normal"/>
        <w:rPr/>
      </w:pPr>
      <w:r>
        <w:rPr/>
      </w:r>
    </w:p>
    <w:p>
      <w:pPr>
        <w:pStyle w:val="Normal"/>
        <w:rPr/>
      </w:pPr>
      <w:r>
        <w:rPr/>
        <w:t>Bow River Trust</w:t>
      </w:r>
    </w:p>
    <w:p>
      <w:pPr>
        <w:pStyle w:val="Normal"/>
        <w:rPr/>
      </w:pPr>
      <w:bookmarkStart w:id="2" w:name="Start2"/>
      <w:bookmarkStart w:id="3" w:name="Start"/>
      <w:bookmarkEnd w:id="2"/>
      <w:bookmarkEnd w:id="3"/>
      <w:r>
        <w:rPr/>
        <w:t>[address]</w:t>
      </w:r>
    </w:p>
    <w:p>
      <w:pPr>
        <w:pStyle w:val="Normal"/>
        <w:rPr/>
      </w:pPr>
      <w:r>
        <w:rPr/>
        <w:t>Attention:  [         ]</w:t>
      </w:r>
    </w:p>
    <w:p>
      <w:pPr>
        <w:pStyle w:val="Normal"/>
        <w:rPr/>
      </w:pPr>
      <w:r>
        <w:rPr/>
      </w:r>
    </w:p>
    <w:p>
      <w:pPr>
        <w:pStyle w:val="Normal"/>
        <w:rPr/>
      </w:pPr>
      <w:r>
        <w:rPr/>
        <w:t>Ladies and Gentlemen:</w:t>
      </w:r>
    </w:p>
    <w:p>
      <w:pPr>
        <w:pStyle w:val="Normal"/>
        <w:rPr/>
      </w:pPr>
      <w:r>
        <w:rPr/>
      </w:r>
    </w:p>
    <w:p>
      <w:pPr>
        <w:pStyle w:val="Normal"/>
        <w:ind w:firstLine="720" w:end="0"/>
        <w:rPr/>
      </w:pPr>
      <w:r>
        <w:rPr/>
        <w:t>We have acted as special counsel for Enron Corp., an Oregon corporation (“</w:t>
      </w:r>
      <w:r>
        <w:rPr>
          <w:u w:val="single"/>
        </w:rPr>
        <w:t>Enron</w:t>
      </w:r>
      <w:r>
        <w:rPr/>
        <w:t>”), in connection with the Enron Corp. Guaranty dated as of September [     ], 2000 (the “</w:t>
      </w:r>
      <w:r>
        <w:rPr>
          <w:u w:val="single"/>
        </w:rPr>
        <w:t>Guaranty</w:t>
      </w:r>
      <w:r>
        <w:rPr/>
        <w:t>”), entered into by Enron for the benefit of Bow River Trust, an Alberta trust, in connection with the swap transaction pursuant to the ISDA Master Agreement (“</w:t>
      </w:r>
      <w:r>
        <w:rPr>
          <w:u w:val="single"/>
        </w:rPr>
        <w:t>Master Agreement</w:t>
      </w:r>
      <w:r>
        <w:rPr/>
        <w:t>”) and the related Confirmation, each dated as of [        ] between Bow River Trust and Enron Canada Corp., an indirect wholly-owned subsidiary of Enron.  All capitalized terms used but not defined herein have the respective meanings ascribed to such terms in the Guaranty.  This opinion is being delivered to you pursuant to Section [    ] of the [Schedule to the] Master Agreement.</w:t>
      </w:r>
    </w:p>
    <w:p>
      <w:pPr>
        <w:pStyle w:val="Normal"/>
        <w:ind w:firstLine="720" w:end="0"/>
        <w:rPr/>
      </w:pPr>
      <w:r>
        <w:rPr/>
      </w:r>
    </w:p>
    <w:p>
      <w:pPr>
        <w:pStyle w:val="Normal"/>
        <w:ind w:firstLine="720" w:end="0"/>
        <w:rPr/>
      </w:pPr>
      <w:r>
        <w:rPr/>
        <w:t>In connection with the opinion herein expressed, we have (i) investigated such questions of law as we have deemed necessary or appropriate for purposes of this opinion and (ii) examined a copy of the Guaranty.</w:t>
      </w:r>
    </w:p>
    <w:p>
      <w:pPr>
        <w:pStyle w:val="Normal"/>
        <w:ind w:firstLine="720" w:end="0"/>
        <w:rPr/>
      </w:pPr>
      <w:r>
        <w:rPr/>
      </w:r>
    </w:p>
    <w:p>
      <w:pPr>
        <w:pStyle w:val="Normal"/>
        <w:ind w:firstLine="720" w:end="0"/>
        <w:rPr/>
      </w:pPr>
      <w:r>
        <w:rPr/>
        <w:t>In rendering the opinion set forth herein, we have assumed (i) the legal capacity of natural persons, (ii) the genuineness of all signatures, (iii) the authenticity of all documents submitted to us as originals, (iv) the conformity to original documents of all documents submitted to us as copies, (v) that, under the law applicable thereto, the Contract (as defined in the Guaranty and as may be amended from time to time) constitutes a valid and binding obligation of all parties thereto, enforceable in accordance with its terms and (vi) that the Contract does not violate any public policy of the State of New York.  We have also assumed that the Guaranty is valid and binding obligation of the party thereto other than Enron.</w:t>
      </w:r>
    </w:p>
    <w:p>
      <w:pPr>
        <w:pStyle w:val="Normal"/>
        <w:ind w:firstLine="720" w:end="0"/>
        <w:rPr/>
      </w:pPr>
      <w:r>
        <w:rPr/>
      </w:r>
    </w:p>
    <w:p>
      <w:pPr>
        <w:pStyle w:val="Normal"/>
        <w:ind w:firstLine="720" w:end="0"/>
        <w:rPr/>
      </w:pPr>
      <w:r>
        <w:rPr/>
        <w:t>Based on the foregoing and subject to the qualifications, exceptions, limitations and assumptions set forth herein, we are of the opinion that the Guaranty constitutes a legal, valid and binding obligation of Enron, enforceable against Enron in accordance with its terms.</w:t>
      </w:r>
    </w:p>
    <w:p>
      <w:pPr>
        <w:pStyle w:val="Normal"/>
        <w:ind w:firstLine="720" w:end="0"/>
        <w:rPr/>
      </w:pPr>
      <w:r>
        <w:rPr/>
      </w:r>
    </w:p>
    <w:p>
      <w:pPr>
        <w:pStyle w:val="Normal"/>
        <w:ind w:firstLine="720" w:end="0"/>
        <w:rPr/>
      </w:pPr>
      <w:r>
        <w:rPr/>
        <w:t>The opinion set forth above is subject in all respects to the following limitations, qualifications, exceptions and assumptions:</w:t>
      </w:r>
    </w:p>
    <w:p>
      <w:pPr>
        <w:pStyle w:val="Normal"/>
        <w:rPr/>
      </w:pPr>
      <w:r>
        <w:rPr/>
      </w:r>
    </w:p>
    <w:p>
      <w:pPr>
        <w:pStyle w:val="Normal"/>
        <w:rPr/>
      </w:pPr>
      <w:r>
        <w:rPr/>
        <w:tab/>
        <w:t>(a)</w:t>
        <w:tab/>
        <w:t>The opinion set forth above is subject to (i) the effects of any applicable bankruptcy (including, without limitation, preference and fraudulent conveyance), insolvency, reorganization, moratorium or similar laws affecting creditors' rights generally and (ii) the effects of general principles of equity (regardless of whether considered in proceedings in equity or at law), including, without limitation, concepts of materiality, reasonableness, good faith and fair dealing, and the possible unavailability of specific performance or injunctive relief.</w:t>
      </w:r>
    </w:p>
    <w:p>
      <w:pPr>
        <w:pStyle w:val="Normal"/>
        <w:rPr/>
      </w:pPr>
      <w:r>
        <w:rPr/>
      </w:r>
    </w:p>
    <w:p>
      <w:pPr>
        <w:pStyle w:val="Normal"/>
        <w:rPr/>
      </w:pPr>
      <w:r>
        <w:rPr/>
        <w:tab/>
        <w:t>(b)</w:t>
        <w:tab/>
        <w:t>In rendering the opinion set forth above, we have relied, with your permission and without independent verification, upon the opinion delivered to you of even date herewith by James V. Derrick, Jr., Executive Vice President and General Counsel of Enron, with respect to the following matters:</w:t>
      </w:r>
    </w:p>
    <w:p>
      <w:pPr>
        <w:pStyle w:val="Normal"/>
        <w:rPr/>
      </w:pPr>
      <w:r>
        <w:rPr/>
      </w:r>
    </w:p>
    <w:p>
      <w:pPr>
        <w:pStyle w:val="Normal"/>
        <w:rPr/>
      </w:pPr>
      <w:r>
        <w:rPr/>
        <w:tab/>
        <w:tab/>
        <w:t>(i)</w:t>
        <w:tab/>
        <w:t>the due incorporation, valid existence and good standing of Enron under the laws of the State of Oregon;</w:t>
      </w:r>
    </w:p>
    <w:p>
      <w:pPr>
        <w:pStyle w:val="Normal"/>
        <w:rPr/>
      </w:pPr>
      <w:r>
        <w:rPr/>
      </w:r>
    </w:p>
    <w:p>
      <w:pPr>
        <w:pStyle w:val="Normal"/>
        <w:rPr/>
      </w:pPr>
      <w:r>
        <w:rPr/>
        <w:tab/>
        <w:tab/>
        <w:t>(ii)</w:t>
        <w:tab/>
        <w:t>the execution, delivery and performance by Enron of the Guaranty being within the corporate powers of Enron, the Guaranty having been duly authorized by all necessary corporate action of Enron and the Guaranty having been duly executed and delivered by Enron;</w:t>
      </w:r>
    </w:p>
    <w:p>
      <w:pPr>
        <w:pStyle w:val="Normal"/>
        <w:rPr/>
      </w:pPr>
      <w:r>
        <w:rPr/>
      </w:r>
    </w:p>
    <w:p>
      <w:pPr>
        <w:pStyle w:val="Normal"/>
        <w:rPr/>
      </w:pPr>
      <w:r>
        <w:rPr/>
        <w:tab/>
        <w:tab/>
        <w:t>(iii)</w:t>
        <w:tab/>
        <w:t xml:space="preserve">the execution, delivery and performance by Enron of the Guaranty, and the consummation by Enron of the transactions evidenced thereby, not constituting a contravention by Enron of, or a default by Enron under, Enron's bylaws, as amended, or Amended and Restated Articles of Incorporation, as amended; </w:t>
      </w:r>
    </w:p>
    <w:p>
      <w:pPr>
        <w:pStyle w:val="Normal"/>
        <w:rPr/>
      </w:pPr>
      <w:r>
        <w:rPr/>
      </w:r>
    </w:p>
    <w:p>
      <w:pPr>
        <w:pStyle w:val="Normal"/>
        <w:rPr/>
      </w:pPr>
      <w:r>
        <w:rPr/>
        <w:tab/>
        <w:tab/>
        <w:t>(iv)</w:t>
        <w:tab/>
        <w:t xml:space="preserve">the execution, delivery and performance by Enron of the Guaranty, and the consummation by Enron of the transactions evidenced thereby, not constituting a contravention by Enron of, or a default by Enron under, any judgment, injunction, order or decree binding upon Enron; </w:t>
      </w:r>
    </w:p>
    <w:p>
      <w:pPr>
        <w:pStyle w:val="Normal"/>
        <w:rPr/>
      </w:pPr>
      <w:r>
        <w:rPr/>
      </w:r>
    </w:p>
    <w:p>
      <w:pPr>
        <w:pStyle w:val="Normal"/>
        <w:ind w:firstLine="1440" w:end="0"/>
        <w:rPr/>
      </w:pPr>
      <w:r>
        <w:rPr/>
        <w:t>(v)</w:t>
        <w:tab/>
        <w:t>Enron not being an “investment company” within the meaning of the Investment Company Act of 1940, as amended; and</w:t>
      </w:r>
    </w:p>
    <w:p>
      <w:pPr>
        <w:pStyle w:val="Normal"/>
        <w:ind w:firstLine="720" w:start="720" w:end="0"/>
        <w:rPr/>
      </w:pPr>
      <w:r>
        <w:rPr/>
      </w:r>
    </w:p>
    <w:p>
      <w:pPr>
        <w:pStyle w:val="Normal"/>
        <w:ind w:firstLine="1440" w:end="0"/>
        <w:rPr/>
      </w:pPr>
      <w:r>
        <w:rPr/>
        <w:t>(vi)</w:t>
        <w:tab/>
        <w:t>Enron not being subject to, or being exempt from, regulation as a “holding company” or a “subsidiary company” of a “holding company,” in each case under the Public Utility Holding Company Act of 1935, as amended.</w:t>
      </w:r>
    </w:p>
    <w:p>
      <w:pPr>
        <w:pStyle w:val="Normal"/>
        <w:rPr/>
      </w:pPr>
      <w:r>
        <w:rPr/>
      </w:r>
    </w:p>
    <w:p>
      <w:pPr>
        <w:pStyle w:val="Normal"/>
        <w:rPr/>
      </w:pPr>
      <w:r>
        <w:rPr/>
        <w:tab/>
        <w:t>(c)</w:t>
        <w:tab/>
        <w:t>We have assumed that no authorization, consent, approval, license, exemption, filing or registration is necessary for the performance by Enron of its obligations under the Guaranty other than those that have been duly obtained and remain in full force and effect.</w:t>
      </w:r>
    </w:p>
    <w:p>
      <w:pPr>
        <w:pStyle w:val="Normal"/>
        <w:rPr/>
      </w:pPr>
      <w:r>
        <w:rPr/>
      </w:r>
    </w:p>
    <w:p>
      <w:pPr>
        <w:pStyle w:val="Normal"/>
        <w:rPr/>
      </w:pPr>
      <w:r>
        <w:rPr/>
        <w:tab/>
        <w:t>(d)</w:t>
        <w:tab/>
        <w:t>We express no opinion with respect to any provision of the Guaranty purporting to waive, subordinate or not give effect to (or cause to be waived, subordinated or rendered ineffective) rights to notices, objections, demands, legal defenses, statutes of limitation, or other benefits or rights that cannot be waived, subordinated or rendered ineffective under applicable law.</w:t>
      </w:r>
    </w:p>
    <w:p>
      <w:pPr>
        <w:pStyle w:val="Normal"/>
        <w:rPr/>
      </w:pPr>
      <w:r>
        <w:rPr/>
      </w:r>
    </w:p>
    <w:p>
      <w:pPr>
        <w:pStyle w:val="Normal"/>
        <w:rPr/>
      </w:pPr>
      <w:r>
        <w:rPr/>
        <w:tab/>
        <w:t xml:space="preserve">(e) </w:t>
        <w:tab/>
        <w:t>Our opinion with respect to the choice of law provision in the Guaranty is rendered in reliance upon the Act of July 19, 1984, ch. 421, 1984 McKinney's Sess. Law of N.Y. 1406 (codified at N.Y. Gen. Oblig. Law Sections 5</w:t>
        <w:noBreakHyphen/>
        <w:t>1401 and 5</w:t>
        <w:noBreakHyphen/>
        <w:t>1402 (McKinney 1989) and N.Y. CPLR 327(b) (McKinney (1990)), and is subject to the qualification that such enforceability does not apply to the extent provided to the contrary in Sections 1</w:t>
        <w:noBreakHyphen/>
        <w:t>105, 8</w:t>
        <w:noBreakHyphen/>
        <w:t>110 or 9</w:t>
        <w:noBreakHyphen/>
        <w:t>103 of the New York Uniform Commercial Code.</w:t>
      </w:r>
    </w:p>
    <w:p>
      <w:pPr>
        <w:pStyle w:val="Normal"/>
        <w:rPr/>
      </w:pPr>
      <w:r>
        <w:rPr/>
      </w:r>
    </w:p>
    <w:p>
      <w:pPr>
        <w:pStyle w:val="Normal"/>
        <w:rPr/>
      </w:pPr>
      <w:r>
        <w:rPr/>
        <w:tab/>
        <w:t xml:space="preserve">(f) </w:t>
        <w:tab/>
        <w:t>We wish to point out that we have not made any investigation or inquiry of any party or of the books and records of any party as to any factual matters.  Rather, we have relied on the Guaranty and on such other records, certificates and documents as we have deemed appropriate for the purposes of this opinion.</w:t>
      </w:r>
    </w:p>
    <w:p>
      <w:pPr>
        <w:pStyle w:val="Normal"/>
        <w:rPr/>
      </w:pPr>
      <w:r>
        <w:rPr/>
      </w:r>
    </w:p>
    <w:p>
      <w:pPr>
        <w:pStyle w:val="Normal"/>
        <w:rPr/>
      </w:pPr>
      <w:r>
        <w:rPr/>
        <w:tab/>
        <w:t>(g)</w:t>
        <w:tab/>
        <w:t>The opinion expressed herein is as of the date hereof only, and we expressly disclaim any obligation to update or supplement such opinion to reflect any fact or circumstance that may hereafter come to our attention or any change in law that may hereafter occur or become effective.</w:t>
      </w:r>
    </w:p>
    <w:p>
      <w:pPr>
        <w:pStyle w:val="Normal"/>
        <w:rPr/>
      </w:pPr>
      <w:r>
        <w:rPr/>
      </w:r>
    </w:p>
    <w:p>
      <w:pPr>
        <w:pStyle w:val="Normal"/>
        <w:rPr/>
      </w:pPr>
      <w:r>
        <w:rPr/>
        <w:tab/>
        <w:t>(h)</w:t>
        <w:tab/>
        <w:t>The opinion expressed herein is limited to the laws of the State of New York and the applicable federal laws of the United States.</w:t>
      </w:r>
    </w:p>
    <w:p>
      <w:pPr>
        <w:pStyle w:val="Normal"/>
        <w:rPr/>
      </w:pPr>
      <w:r>
        <w:rPr/>
      </w:r>
    </w:p>
    <w:p>
      <w:pPr>
        <w:pStyle w:val="Normal"/>
        <w:ind w:firstLine="720" w:end="0"/>
        <w:rPr/>
      </w:pPr>
      <w:r>
        <w:rPr/>
        <w:t>The opinion herein is solely for your benefit and may not be relied upon by any other person, or by you or any other person in any other context, or furnished to any other person, without the prior written consent of the undersigned.</w:t>
      </w:r>
    </w:p>
    <w:p>
      <w:pPr>
        <w:pStyle w:val="Normal"/>
        <w:rPr/>
      </w:pPr>
      <w:r>
        <w:rPr/>
      </w:r>
    </w:p>
    <w:p>
      <w:pPr>
        <w:pStyle w:val="Normal"/>
        <w:ind w:firstLine="4320" w:end="0"/>
        <w:rPr/>
      </w:pPr>
      <w:r>
        <w:rPr/>
        <w:t>Very truly yours,</w:t>
      </w:r>
    </w:p>
    <w:p>
      <w:pPr>
        <w:pStyle w:val="Normal"/>
        <w:rPr/>
      </w:pPr>
      <w:r>
        <w:rPr/>
      </w:r>
    </w:p>
    <w:p>
      <w:pPr>
        <w:pStyle w:val="Normal"/>
        <w:rPr/>
      </w:pPr>
      <w:r>
        <w:rPr/>
      </w:r>
    </w:p>
    <w:p>
      <w:pPr>
        <w:pStyle w:val="Normal"/>
        <w:rPr>
          <w:b/>
        </w:rPr>
      </w:pPr>
      <w:r>
        <w:rPr>
          <w:b/>
        </w:rPr>
      </w:r>
    </w:p>
    <w:p>
      <w:pPr>
        <w:pStyle w:val="Normal"/>
        <w:rPr>
          <w:b/>
        </w:rPr>
      </w:pPr>
      <w:r>
        <w:rPr>
          <w:b/>
        </w:rPr>
      </w:r>
    </w:p>
    <w:p>
      <w:pPr>
        <w:pStyle w:val="Normal"/>
        <w:rPr/>
      </w:pPr>
      <w:r>
        <w:rPr/>
      </w:r>
    </w:p>
    <w:p>
      <w:pPr>
        <w:pStyle w:val="Normal"/>
        <w:rPr/>
      </w:pPr>
      <w:r>
        <w:rPr/>
      </w:r>
    </w:p>
    <w:p>
      <w:pPr>
        <w:pStyle w:val="Header"/>
        <w:tabs>
          <w:tab w:val="clear" w:pos="4320"/>
          <w:tab w:val="clear" w:pos="8640"/>
        </w:tabs>
        <w:rPr>
          <w:sz w:val="16"/>
        </w:rPr>
      </w:pPr>
      <w:r>
        <w:rPr>
          <w:sz w:val="16"/>
        </w:rPr>
        <w:fldChar w:fldCharType="begin"/>
      </w:r>
      <w:r>
        <w:rPr>
          <w:sz w:val="16"/>
        </w:rPr>
        <w:instrText xml:space="preserve"> FILENAME </w:instrText>
      </w:r>
      <w:r>
        <w:rPr>
          <w:sz w:val="16"/>
        </w:rPr>
        <w:fldChar w:fldCharType="separate"/>
      </w:r>
      <w:r>
        <w:rPr>
          <w:sz w:val="16"/>
        </w:rPr>
        <w:t>Enron_Alberta_Swap_VE_Legal_Opinion__Bow_River_.DOC</w:t>
      </w:r>
      <w:r>
        <w:rPr>
          <w:sz w:val="16"/>
        </w:rPr>
        <w:fldChar w:fldCharType="end"/>
      </w:r>
    </w:p>
    <w:sectPr>
      <w:headerReference w:type="default" r:id="rId2"/>
      <w:headerReference w:type="first" r:id="rId3"/>
      <w:footerReference w:type="default" r:id="rId4"/>
      <w:footerReference w:type="first" r:id="rId5"/>
      <w:type w:val="nextPage"/>
      <w:pgSz w:w="12240" w:h="15840"/>
      <w:pgMar w:left="1440" w:right="108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VELogo">
    <w:charset w:val="00" w:characterSet="windows-1252"/>
    <w:family w:val="swiss"/>
    <w:pitch w:val="variable"/>
  </w:font>
  <w:font w:name="Humanst521 Lt BT">
    <w:charset w:val="00" w:characterSet="windows-1252"/>
    <w:family w:val="swiss"/>
    <w:pitch w:val="variable"/>
  </w:font>
  <w:font w:name="Humanst521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Humanst521 Lt BT" w:hAnsi="Humanst521 Lt BT" w:cs="Humanst521 Lt BT"/>
        <w:sz w:val="12"/>
      </w:rPr>
    </w:pPr>
    <w:r>
      <w:rPr>
        <w:rFonts w:cs="Humanst521 Lt BT" w:ascii="Humanst521 Lt BT" w:hAnsi="Humanst521 Lt BT"/>
        <w:sz w:val="12"/>
      </w:rPr>
      <w:t>AUSTIN            BEIJING            DALLAS            HOUSTON           LONDON          MOSCOW           NEW YORK          SINGAPORE         WASHINGTON, D.C.</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Bow River Trust</w:t>
    </w:r>
  </w:p>
  <w:p>
    <w:pPr>
      <w:pStyle w:val="Header"/>
      <w:rPr/>
    </w:pPr>
    <w:r>
      <w:rPr/>
      <w:t>September [   ],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NY Ltr w-Logo (4000T)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2000-09-19T22:20:00Z</dcterms:created>
  <dc:creator>Information Systems</dc:creator>
  <dc:description/>
  <dc:language>en-CA</dc:language>
  <cp:lastModifiedBy>ITS/NYO</cp:lastModifiedBy>
  <cp:lastPrinted>2000-09-19T20:50:00Z</cp:lastPrinted>
  <dcterms:modified xsi:type="dcterms:W3CDTF">2000-09-19T22:20:00Z</dcterms:modified>
  <cp:revision>2</cp:revision>
  <dc:subject/>
  <dc:title>&amp;</dc:title>
</cp:coreProperties>
</file>