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10.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sz w:val="18"/>
        </w:rPr>
        <w:t>ENRON NORTH AMERICA CORP.</w:t>
      </w:r>
      <w:r>
        <w:rPr>
          <w:rFonts w:cs="Arial Narrow" w:ascii="Arial Narrow" w:hAnsi="Arial Narrow"/>
          <w:sz w:val="18"/>
        </w:rPr>
        <w:t>, 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sz w:val="18"/>
        </w:rPr>
        <w:t>ORMET PRIMARY ALUMINUM CORPORATION</w:t>
      </w:r>
      <w:r>
        <w:rPr>
          <w:rFonts w:cs="Arial Narrow" w:ascii="Arial Narrow" w:hAnsi="Arial Narrow"/>
          <w:sz w:val="18"/>
        </w:rPr>
        <w:t>,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Firm Purchase/Sale Agreement (together with the attacthed Transaction,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the attached Transaction and be in effect for a term of two years from the Effective Date.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a Transaction for the firm purchase and sale of Gas to which this Agreement shall apply.  Such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such Transaction, together with this Agreement, shall constitute a single integrated agreement.  It is acknowledged that the Parties are relying upon the fact that such Transaction, together with this Agreement, will form a single integrated agreement and that the Parties would not otherwise enter into any such Transaction.  Such Transaction shall be construed as one with this Agreement and any discrepancy between this Agreement and a Transaction shall be resolved in favor of the Transaction.  Such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a Transaction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deliver, or cause to be delivered,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deliver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Deliver</w:t>
      </w:r>
      <w:r>
        <w:rPr>
          <w:rFonts w:cs="Arial Narrow" w:ascii="Arial Narrow" w:hAnsi="Arial Narrow"/>
          <w:sz w:val="18"/>
        </w:rPr>
        <w:t>.  If on any Gas Day Seller fails to Deliver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delivered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plus (iii) subject to the dollar limitation contained in Section 8.3 hereof, consequential damages incurred by Buyer as a result of Seller’s failure to deliver.  For the purposes of this Section 3.2, the term “consequential damages” shall mean (a) all profits lost by Buyer or any of its affiliates as a direct or indirect result of Seller’s failure to deliver; and (b) all costs incurred by Buyer or any of its affiliates as a direct or indirect result of Seller’s failure to deliver, including but not limited to costs associated with alternate, labor expenses, repair to or replacement of machinery, product or piping, loss of production at the Plant, loss of production at the facilities of any of Buyer’s affiliates, loss of use, plant shut-down and start-up expenses, any take-or-pay commitments and transportation demand charges, which costs are not included in the determination of the Replacement Price Differential.  During any Month in which Seller's nonperformance continues for a period of five consecutive Gas Days Buyer may elect upon notice to Seller, without liability, not to recommence receiving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receive, or cause to be received, at the Delivery Point(s) on a firm basis each Gas Day a quantity of Gas equal to the DCQ; provided, (i) if the MinMQ is applicable to a Transaction, Buyer shall receive, or cause to be received, at the Delivery Point(s) on a firm basis each Month a minimum quantity of Gas equal to the MinMQ and (ii) if the MinDQ is applicable to a Transaction, Buyer shall receive, or cause to be received,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Receive</w:t>
      </w:r>
      <w:r>
        <w:rPr>
          <w:rFonts w:cs="Arial Narrow" w:ascii="Arial Narrow" w:hAnsi="Arial Narrow"/>
          <w:sz w:val="18"/>
        </w:rPr>
        <w:t>.  If on any Gas Day Buyer fails to receive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received for such Gas Day; provided, if the MinMQ is applicable to a Transaction, (i) the Buyer's Deficiency Default shall occur if Buyer fails to receive the MinMQ for any Month and (ii) the Buyer's Deficiency Quantity shall be the numerical difference between the MinMQ and the quantity of Gas received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Additionally, Buyer shall also pay Seller an amount equal to Seller’s actual out-of-pocket expenditures (less any amount received from reselling such transportation capacity) in acquiring transportation capacity not utilized as a result of such Buyer’s Deficiency Default.  With respect to DCQ and MinDQ obligations, during any Month in which Buyer's nonperformance continues for a period of five consecutive Gas Days Seller may elect upon notice to Buyer, without liability, not to recommence delivering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w:t>
      </w:r>
      <w:r>
        <w:rPr>
          <w:rFonts w:cs="Arial Narrow" w:ascii="Arial Narrow" w:hAnsi="Arial Narrow"/>
          <w:color w:val="000000"/>
          <w:sz w:val="18"/>
        </w:rPr>
        <w:t>If either party shall fail to perform any of the covenants or obligations imposed upon it under the Contract (except where such failure shall be excused under any other provisions hereof) the other party may, at its option (without waiving any other remedy for breach hereof) terminate the Contract by proceeding as follows:  the party not in default shall cause a written notice to be served on the party claimed to be in default, stating specifically the cause for terminating the Contract and declaring it to be the intention of the party giving the notice to terminate the Contract, whereupon the party claimed to be in default shall have thirty (30) days after the service of this notice in which to remedy or remove the cause or causes stated in the notice for terminating the Contract, and if within the 30-day period the party claimed to be in default does remedy and remove the cause or causes and fully indemnifies the party not in default for any and all consequences of the default, then such notice shall be withdrawn and the Contract shall remain in full force and effect.  In the event the party in default does not remedy and remove the cause or causes and does not indemnify the party giving the notice for any and all consequences of such breach within the 30-day period, then the Contract shall become null and void from and after the expiration of the 30-day period.  Any cancellation of the Contract pursuant to the provisions of this paragraph shall be without prejudice to the right of the party not in default to collect any amounts then due it and without waiver of any other remedy to which the party not in default may be entitled for violation of the Contract.  No waiver by either Seller or Buyer of any default of the other under the Contract shall operate as a waiver of any other default, whether of like or different character or nature, nor shall any failure to exercise any right hereunder be considered as a waiver of such right in the future.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r>
        <w:rPr>
          <w:rFonts w:cs="Arial Narrow" w:ascii="Arial Narrow" w:hAnsi="Arial Narrow"/>
          <w:sz w:val="18"/>
        </w:rPr>
        <w:t xml:space="preserve">  In the event a party fails to provide or to maintain such guaranty agreement in place during the term of this Agreement, the other party may terminate this Agreement as provided in Section 4.1 above.</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Collateral Requirement/Termination Payment Threshold</w:t>
      </w:r>
      <w:r>
        <w:rPr>
          <w:rFonts w:cs="Arial Narrow" w:ascii="Arial Narrow" w:hAnsi="Arial Narrow"/>
          <w:sz w:val="18"/>
        </w:rPr>
        <w:t xml:space="preserve">.  (a)  If at any time and from time to time during the term of this Agreement the amount (the “Threshold Amount” herein) that would be owed to Customer in respect of all Transactions then outstanding should exceed $10,000,000, Customer as the Beneficiary Party may request Company to establish a Letter of Credit as the Account Party in an amount equal to the Threshold Amount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(b) If at any time and from time to time during the term of this Agreement the Threshold Amount that would be owed to Company in respect of all Transactions then outstanding should exceed $4,000,000, Company as the Beneficiary Party may request Customer to establish a Letter of Credit as the Account Party in an amount equal to the Threshold Amount in excess of $4,000,000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w:t>
      </w:r>
      <w:r>
        <w:rPr>
          <w:rFonts w:cs="Arial Narrow" w:ascii="Arial Narrow" w:hAnsi="Arial Narrow"/>
          <w:color w:val="0000FF"/>
          <w:sz w:val="18"/>
        </w:rPr>
        <w:t>Notwithstanding the foregoing, the Company and the Customer agree to negotiate in good faith a netting agreement that will eliminate or reduce the need for a letter of credit to be supplied by Customer and that until such netting agreement is executed by the parties, a Letter of Credit under this provision shall not be required.</w:t>
      </w:r>
      <w:r>
        <w:rPr>
          <w:rFonts w:cs="Arial Narrow" w:ascii="Arial Narrow" w:hAnsi="Arial Narrow"/>
          <w:sz w:val="18"/>
        </w:rPr>
        <w:t xml:space="preserve"> (c) The Letter of Credit or other collateral shall be delivered within two Business Days of the date of such notice.  On a Monthly basis, such Letter of Credit may be increased or reduced correspondingly to the amount of such excess Threshold Amount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4.3, the calculation of “Threshold Amount”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or any part thereof.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terminate the Agreement  in accordance with the provisions of Secttion 4.1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terminate this Agreement in accordance with Section 4.1 hereof (and which notice shall be given no later than 90 Days after the later of the enactment or effective date of the relevant New Tax), and prior to the proposed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terminate this Agreement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such noticed termination of this Agreement shall take effect and all Transactions must be terminated and be subject to the same noticed termination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IN EXCESS OF $1,000,000.00 DURING THE TERM OF THIS AGREEMENT.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w:t>
      </w:r>
      <w:r>
        <w:rPr>
          <w:rFonts w:cs="Arial Narrow" w:ascii="Arial Narrow" w:hAnsi="Arial Narrow"/>
          <w:sz w:val="18"/>
        </w:rPr>
        <w:t xml:space="preserve">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LOUISIANA, WITHOUT REGARD TO PRINCIPLES OF CONFLICTS OF LAW.   The parties hereby agree that any dispute arising under this Agreement shall be resolved by trial to the court.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ORMET PRIMARY ALUMINUM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/mnt/main-storage/datasets/enron-docs/doc/Enron_Agreement-682ac5a981dcf77e0175e9953d5aa67dc84ab657ffd106ad610d7d1a8e4bef06.doc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  </w:t>
      </w:r>
      <w:r>
        <w:rPr>
          <w:rFonts w:cs="Arial Narrow" w:ascii="Arial Narrow" w:hAnsi="Arial Narrow"/>
          <w:color w:val="000000"/>
          <w:sz w:val="18"/>
        </w:rPr>
        <w:t>Force Majeure shall include strikes, lockouts, other labor related disturbances and shutdown or partial curtailment of operations at Buyer's plant.  Remedy of a Force Majeure occurrence will not require either Party to settle a labor related disturbance in a manner that may be detrimental to the Party claiming relief.</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Ormet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shall have defaulted on its indebtedness to third parties resulting in an acceleration of obligations of Enron Corp. in excess of $100,000,000, or (ii) with respect to Customer, Customer's Guarantor shall have either (a) Funded Debt at any one time which exceeds 100% of Net Worth or (b) Net Worth below $70,000,000, or (c) Current Ratio less than 1.00 to 1.00 at the end of any fiscal quarter, or (d) defaulted on its indebted</w:t>
        <w:softHyphen/>
        <w:t>ness to third parties, resulting in an acceleration of obligations of Customer's Guarantor in excess of $5,000,000.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w:t>
      </w:r>
      <w:r>
        <w:rPr>
          <w:rFonts w:cs="Arial Narrow" w:ascii="Arial Narrow" w:hAnsi="Arial Narrow"/>
          <w:color w:val="000000"/>
          <w:sz w:val="18"/>
        </w:rPr>
        <w:t xml:space="preserve">in the event of Seller's Deficiency Default, (a) the difference between the price per MMBtu for gas purchased by the Buyer to replace the volumes Seller failed to deliver and the price that would have been applicable to the non-delivered volumes under this Agreement, plus (b) all transportation fees and charges incurred by Buyer to have the replacement volumes delivered to the Delivery Point(s); </w:t>
      </w:r>
      <w:r>
        <w:rPr>
          <w:rFonts w:cs="Arial Narrow" w:ascii="Arial Narrow" w:hAnsi="Arial Narrow"/>
          <w:sz w:val="18"/>
        </w:rPr>
        <w:t>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  Buyer covenants that it will use reasonable commercial best efforts to acquire replacement volumes on a least cost basis.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Seller's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w:t>
      </w:r>
      <w:r>
        <w:rPr>
          <w:rFonts w:cs="Arial Narrow" w:ascii="Arial Narrow" w:hAnsi="Arial Narrow"/>
          <w:color w:val="0000FF"/>
          <w:sz w:val="18"/>
        </w:rPr>
        <w:t>or call on  any guarantor</w:t>
      </w:r>
      <w:r>
        <w:rPr>
          <w:rFonts w:cs="Arial Narrow" w:ascii="Arial Narrow" w:hAnsi="Arial Narrow"/>
          <w:sz w:val="18"/>
        </w:rPr>
        <w:t xml:space="preserve">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Mike Cesario – Energy Manager</w:t>
      </w:r>
    </w:p>
    <w:p>
      <w:pPr>
        <w:pStyle w:val="Normal"/>
        <w:jc w:val="both"/>
        <w:rPr>
          <w:rFonts w:ascii="Arial Narrow" w:hAnsi="Arial Narrow" w:cs="Arial Narrow"/>
          <w:sz w:val="18"/>
        </w:rPr>
      </w:pPr>
      <w:r>
        <w:rPr>
          <w:rFonts w:cs="Arial Narrow" w:ascii="Arial Narrow" w:hAnsi="Arial Narrow"/>
          <w:sz w:val="18"/>
        </w:rPr>
        <w:t>1233 Main Street</w:t>
      </w:r>
    </w:p>
    <w:p>
      <w:pPr>
        <w:pStyle w:val="Normal"/>
        <w:jc w:val="both"/>
        <w:rPr>
          <w:rFonts w:ascii="Arial Narrow" w:hAnsi="Arial Narrow" w:cs="Arial Narrow"/>
          <w:sz w:val="18"/>
        </w:rPr>
      </w:pPr>
      <w:r>
        <w:rPr>
          <w:rFonts w:cs="Arial Narrow" w:ascii="Arial Narrow" w:hAnsi="Arial Narrow"/>
          <w:sz w:val="18"/>
        </w:rPr>
        <w:t>Suite 3004</w:t>
      </w:r>
    </w:p>
    <w:p>
      <w:pPr>
        <w:pStyle w:val="Normal"/>
        <w:jc w:val="both"/>
        <w:rPr>
          <w:rFonts w:ascii="Arial Narrow" w:hAnsi="Arial Narrow" w:cs="Arial Narrow"/>
          <w:sz w:val="18"/>
        </w:rPr>
      </w:pPr>
      <w:r>
        <w:rPr>
          <w:rFonts w:cs="Arial Narrow" w:ascii="Arial Narrow" w:hAnsi="Arial Narrow"/>
          <w:sz w:val="18"/>
        </w:rPr>
        <w:t>Wheeling, WV  26003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Mike Cesario – Energy Manager</w:t>
      </w:r>
    </w:p>
    <w:p>
      <w:pPr>
        <w:pStyle w:val="Normal"/>
        <w:jc w:val="both"/>
        <w:rPr>
          <w:rFonts w:ascii="Arial Narrow" w:hAnsi="Arial Narrow" w:cs="Arial Narrow"/>
          <w:sz w:val="18"/>
        </w:rPr>
      </w:pPr>
      <w:r>
        <w:rPr>
          <w:rFonts w:cs="Arial Narrow" w:ascii="Arial Narrow" w:hAnsi="Arial Narrow"/>
          <w:sz w:val="18"/>
        </w:rPr>
        <w:t>1233 Main Street</w:t>
      </w:r>
    </w:p>
    <w:p>
      <w:pPr>
        <w:pStyle w:val="Normal"/>
        <w:jc w:val="both"/>
        <w:rPr>
          <w:rFonts w:ascii="Arial Narrow" w:hAnsi="Arial Narrow" w:cs="Arial Narrow"/>
          <w:sz w:val="18"/>
        </w:rPr>
      </w:pPr>
      <w:r>
        <w:rPr>
          <w:rFonts w:cs="Arial Narrow" w:ascii="Arial Narrow" w:hAnsi="Arial Narrow"/>
          <w:sz w:val="18"/>
        </w:rPr>
        <w:t>Suite 3004</w:t>
      </w:r>
    </w:p>
    <w:p>
      <w:pPr>
        <w:pStyle w:val="Normal"/>
        <w:jc w:val="both"/>
        <w:rPr>
          <w:rFonts w:ascii="Arial Narrow" w:hAnsi="Arial Narrow" w:cs="Arial Narrow"/>
          <w:sz w:val="18"/>
        </w:rPr>
      </w:pPr>
      <w:r>
        <w:rPr>
          <w:rFonts w:cs="Arial Narrow" w:ascii="Arial Narrow" w:hAnsi="Arial Narrow"/>
          <w:sz w:val="18"/>
        </w:rPr>
        <w:t>Wheeling, WV  26003</w:t>
      </w:r>
    </w:p>
    <w:p>
      <w:pPr>
        <w:pStyle w:val="Normal"/>
        <w:jc w:val="both"/>
        <w:rPr>
          <w:rFonts w:ascii="Arial Narrow" w:hAnsi="Arial Narrow" w:cs="Arial Narrow"/>
          <w:sz w:val="18"/>
        </w:rPr>
      </w:pPr>
      <w:r>
        <w:rPr>
          <w:rFonts w:cs="Arial Narrow" w:ascii="Arial Narrow" w:hAnsi="Arial Narrow"/>
          <w:sz w:val="18"/>
        </w:rPr>
        <w:t>cc:  Rich Caruso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John Paesano</w:t>
      </w:r>
    </w:p>
    <w:p>
      <w:pPr>
        <w:pStyle w:val="Normal"/>
        <w:jc w:val="both"/>
        <w:rPr>
          <w:rFonts w:ascii="Arial Narrow" w:hAnsi="Arial Narrow" w:cs="Arial Narrow"/>
          <w:sz w:val="18"/>
        </w:rPr>
      </w:pPr>
      <w:r>
        <w:rPr>
          <w:rFonts w:cs="Arial Narrow" w:ascii="Arial Narrow" w:hAnsi="Arial Narrow"/>
          <w:sz w:val="18"/>
        </w:rPr>
        <w:t>P.O. Box 176</w:t>
      </w:r>
    </w:p>
    <w:p>
      <w:pPr>
        <w:pStyle w:val="Normal"/>
        <w:jc w:val="both"/>
        <w:rPr>
          <w:rFonts w:ascii="Arial Narrow" w:hAnsi="Arial Narrow" w:cs="Arial Narrow"/>
          <w:sz w:val="18"/>
        </w:rPr>
      </w:pPr>
      <w:r>
        <w:rPr>
          <w:rFonts w:cs="Arial Narrow" w:ascii="Arial Narrow" w:hAnsi="Arial Narrow"/>
          <w:sz w:val="18"/>
        </w:rPr>
        <w:t>Hannibal, OH  43931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Mike Cesario – Energy Manager  (304)234-3954</w:t>
      </w:r>
    </w:p>
    <w:p>
      <w:pPr>
        <w:pStyle w:val="Normal"/>
        <w:jc w:val="both"/>
        <w:rPr/>
      </w:pPr>
      <w:r>
        <w:rPr>
          <w:rFonts w:cs="Arial Narrow" w:ascii="Arial Narrow" w:hAnsi="Arial Narrow"/>
          <w:b/>
          <w:sz w:val="18"/>
        </w:rPr>
        <w:t xml:space="preserve">Confirmations: </w:t>
      </w:r>
      <w:r>
        <w:rPr>
          <w:rFonts w:cs="Arial Narrow" w:ascii="Arial Narrow" w:hAnsi="Arial Narrow"/>
          <w:sz w:val="18"/>
        </w:rPr>
        <w:t>Mike Cesario – Energy Manager  (304)234-3954</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_Enron Corp., an Oregon corporation ("</w:t>
      </w:r>
      <w:r>
        <w:rPr>
          <w:rFonts w:cs="Arial Narrow" w:ascii="Arial Narrow" w:hAnsi="Arial Narrow"/>
          <w:sz w:val="18"/>
          <w:u w:val="single"/>
        </w:rPr>
        <w:t>Guarantor</w:t>
      </w:r>
      <w:r>
        <w:rPr>
          <w:rFonts w:cs="Arial Narrow" w:ascii="Arial Narrow" w:hAnsi="Arial Narrow"/>
          <w:sz w:val="18"/>
        </w:rPr>
        <w:t>"), and Ormet Primary Aluminum Corporation,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w:t>
      </w:r>
      <w:r>
        <w:rPr>
          <w:rFonts w:cs="Arial Narrow" w:ascii="Arial Narrow" w:hAnsi="Arial Narrow"/>
          <w:strike/>
          <w:color w:val="0000FF"/>
          <w:sz w:val="18"/>
        </w:rPr>
        <w: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w:t>
      </w:r>
      <w:r>
        <w:rPr>
          <w:rFonts w:cs="Arial Narrow" w:ascii="Arial Narrow" w:hAnsi="Arial Narrow"/>
          <w:strike/>
          <w:color w:val="0000FF"/>
          <w:sz w:val="18"/>
        </w:rPr>
        <w:t>.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w:t>
      </w:r>
      <w:r>
        <w:rPr>
          <w:rFonts w:cs="Arial Narrow" w:ascii="Arial Narrow" w:hAnsi="Arial Narrow"/>
          <w:strike/>
          <w:color w:val="0000FF"/>
          <w:sz w:val="18"/>
        </w:rPr>
        <w:t xml:space="preserve">Guarantor WAIVES all rights, setoffs, counterclaims and other defenses of Obligor relating to the Obligations, including, without limitation, all rights, setoffs, counterclaims and other defenses arising out of the bankruptcy, insolvency, dissolution or liquidation of Obligor. </w:t>
      </w:r>
      <w:r>
        <w:rPr>
          <w:rFonts w:cs="Arial Narrow" w:ascii="Arial Narrow" w:hAnsi="Arial Narrow"/>
          <w:sz w:val="18"/>
        </w:rPr>
        <w:t xml:space="preserve">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Rich Caruso</w:t>
      </w:r>
    </w:p>
    <w:p>
      <w:pPr>
        <w:pStyle w:val="Normal"/>
        <w:jc w:val="both"/>
        <w:rPr>
          <w:rFonts w:ascii="Arial Narrow" w:hAnsi="Arial Narrow" w:cs="Arial Narrow"/>
          <w:sz w:val="18"/>
        </w:rPr>
      </w:pPr>
      <w:r>
        <w:rPr>
          <w:rFonts w:cs="Arial Narrow" w:ascii="Arial Narrow" w:hAnsi="Arial Narrow"/>
          <w:sz w:val="18"/>
        </w:rPr>
        <w:t>1233 Main Street</w:t>
      </w:r>
    </w:p>
    <w:p>
      <w:pPr>
        <w:pStyle w:val="Normal"/>
        <w:jc w:val="both"/>
        <w:rPr>
          <w:rFonts w:ascii="Arial Narrow" w:hAnsi="Arial Narrow" w:cs="Arial Narrow"/>
          <w:sz w:val="18"/>
        </w:rPr>
      </w:pPr>
      <w:r>
        <w:rPr>
          <w:rFonts w:cs="Arial Narrow" w:ascii="Arial Narrow" w:hAnsi="Arial Narrow"/>
          <w:sz w:val="18"/>
        </w:rPr>
        <w:t>Wheeling, WV  26003</w:t>
      </w:r>
    </w:p>
    <w:p>
      <w:pPr>
        <w:pStyle w:val="Normal"/>
        <w:jc w:val="both"/>
        <w:rPr>
          <w:rFonts w:ascii="Arial Narrow" w:hAnsi="Arial Narrow" w:cs="Arial Narrow"/>
          <w:sz w:val="18"/>
        </w:rPr>
      </w:pPr>
      <w:r>
        <w:rPr>
          <w:rFonts w:cs="Arial Narrow" w:ascii="Arial Narrow" w:hAnsi="Arial Narrow"/>
          <w:sz w:val="18"/>
        </w:rPr>
        <w:t>Facsimile:  (304)234-3909</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ORMET PRIMARY ALUMINUM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Ormet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Ormet Primary Aluminum Corporation,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w:t>
      </w:r>
      <w:r>
        <w:rPr>
          <w:rFonts w:cs="Arial Narrow" w:ascii="Arial Narrow" w:hAnsi="Arial Narrow"/>
          <w:strike/>
          <w:color w:val="0000FF"/>
          <w:sz w:val="18"/>
        </w:rPr>
        <w: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 (the "</w:t>
      </w:r>
      <w:r>
        <w:rPr>
          <w:rFonts w:cs="Arial Narrow" w:ascii="Arial Narrow" w:hAnsi="Arial Narrow"/>
          <w:sz w:val="18"/>
          <w:u w:val="single"/>
        </w:rPr>
        <w:t>Maximum Limit</w:t>
      </w:r>
      <w:r>
        <w:rPr>
          <w:rFonts w:cs="Arial Narrow" w:ascii="Arial Narrow" w:hAnsi="Arial Narrow"/>
          <w:sz w:val="18"/>
        </w:rPr>
        <w:t xml:space="preserve">");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w:t>
      </w:r>
      <w:r>
        <w:rPr>
          <w:rFonts w:cs="Arial Narrow" w:ascii="Arial Narrow" w:hAnsi="Arial Narrow"/>
          <w:strike/>
          <w:color w:val="0000FF"/>
          <w:sz w:val="18"/>
        </w:rPr>
        <w:t>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w:t>
      </w:r>
      <w:r>
        <w:rPr>
          <w:rFonts w:cs="Arial Narrow" w:ascii="Arial Narrow" w:hAnsi="Arial Narrow"/>
          <w:strike/>
          <w:color w:val="0000FF"/>
          <w:sz w:val="18"/>
        </w:rPr>
        <w:t>Guarantor WAIVES all rights, setoffs, counterclaims and other defenses of Obligor relating to the Obligations, including, without limitation, all rights, setoffs, counterclaims and other defenses arising out of the bankruptcy, insolvency, dissolution or liquidation of Obligor.</w:t>
      </w:r>
      <w:r>
        <w:rPr>
          <w:rFonts w:cs="Arial Narrow" w:ascii="Arial Narrow" w:hAnsi="Arial Narrow"/>
          <w:sz w:val="18"/>
        </w:rPr>
        <w:t xml:space="preserve">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w:t>
      </w:r>
      <w:r>
        <w:rPr>
          <w:rFonts w:cs="Arial Narrow" w:ascii="Arial Narrow" w:hAnsi="Arial Narrow"/>
          <w:color w:val="0000FF"/>
          <w:sz w:val="18"/>
        </w:rPr>
        <w:t>subject to the execution of  a mutually agreeable confidentiality agreement,</w:t>
      </w:r>
      <w:r>
        <w:rPr>
          <w:rFonts w:cs="Arial Narrow" w:ascii="Arial Narrow" w:hAnsi="Arial Narrow"/>
          <w:sz w:val="18"/>
        </w:rPr>
        <w:t xml:space="preserve">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Rich Caruso</w:t>
      </w:r>
    </w:p>
    <w:p>
      <w:pPr>
        <w:pStyle w:val="Normal"/>
        <w:jc w:val="both"/>
        <w:rPr>
          <w:rFonts w:ascii="Arial Narrow" w:hAnsi="Arial Narrow" w:cs="Arial Narrow"/>
          <w:sz w:val="18"/>
        </w:rPr>
      </w:pPr>
      <w:r>
        <w:rPr>
          <w:rFonts w:cs="Arial Narrow" w:ascii="Arial Narrow" w:hAnsi="Arial Narrow"/>
          <w:sz w:val="18"/>
        </w:rPr>
        <w:t>1233 Main Street</w:t>
      </w:r>
    </w:p>
    <w:p>
      <w:pPr>
        <w:pStyle w:val="Normal"/>
        <w:jc w:val="both"/>
        <w:rPr>
          <w:rFonts w:ascii="Arial Narrow" w:hAnsi="Arial Narrow" w:cs="Arial Narrow"/>
          <w:sz w:val="18"/>
        </w:rPr>
      </w:pPr>
      <w:r>
        <w:rPr>
          <w:rFonts w:cs="Arial Narrow" w:ascii="Arial Narrow" w:hAnsi="Arial Narrow"/>
          <w:sz w:val="18"/>
        </w:rPr>
        <w:t>Wheeling, WV  26003</w:t>
      </w:r>
    </w:p>
    <w:p>
      <w:pPr>
        <w:pStyle w:val="Normal"/>
        <w:jc w:val="both"/>
        <w:rPr>
          <w:rFonts w:ascii="Arial Narrow" w:hAnsi="Arial Narrow" w:cs="Arial Narrow"/>
          <w:sz w:val="18"/>
        </w:rPr>
      </w:pPr>
      <w:r>
        <w:rPr>
          <w:rFonts w:cs="Arial Narrow" w:ascii="Arial Narrow" w:hAnsi="Arial Narrow"/>
          <w:sz w:val="18"/>
        </w:rPr>
        <w:t>Facsimile:  (304)234-3909</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ORMET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r>
        <w:br w:type="page"/>
      </w:r>
    </w:p>
    <w:p>
      <w:pPr>
        <w:pStyle w:val="Normal"/>
        <w:tabs>
          <w:tab w:val="clear" w:pos="720"/>
          <w:tab w:val="left" w:pos="90" w:leader="none"/>
        </w:tabs>
        <w:jc w:val="both"/>
        <w:rPr>
          <w:rFonts w:ascii="Arial" w:hAnsi="Arial" w:cs="Arial"/>
          <w:sz w:val="18"/>
          <w:u w:val="single"/>
        </w:rPr>
      </w:pPr>
      <w:r>
        <w:rPr>
          <w:rFonts w:cs="Arial" w:ascii="Arial" w:hAnsi="Arial"/>
          <w:sz w:val="18"/>
          <w:u w:val="single"/>
        </w:rPr>
      </w:r>
    </w:p>
    <w:p>
      <w:pPr>
        <w:pStyle w:val="Normal"/>
        <w:tabs>
          <w:tab w:val="clear" w:pos="720"/>
          <w:tab w:val="center" w:pos="5760" w:leader="none"/>
        </w:tabs>
        <w:jc w:val="both"/>
        <w:rPr>
          <w:rFonts w:ascii="Arial" w:hAnsi="Arial" w:cs="Arial"/>
        </w:rPr>
      </w:pPr>
      <w:r>
        <w:rPr>
          <w:rFonts w:cs="Arial" w:ascii="Arial" w:hAnsi="Arial"/>
        </w:rPr>
      </w:r>
    </w:p>
    <w:sectPr>
      <w:headerReference w:type="default" r:id="rId18"/>
      <w:headerReference w:type="first" r:id="rId19"/>
      <w:footerReference w:type="default" r:id="rId20"/>
      <w:footerReference w:type="first" r:id="rId21"/>
      <w:type w:val="nextPage"/>
      <w:pgSz w:w="12240" w:h="15840"/>
      <w:pgMar w:left="1440" w:right="144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snapToGrid w:val="false"/>
            <w:ind w:start="2502" w:end="0"/>
            <w:rPr>
              <w:b/>
              <w:sz w:val="20"/>
            </w:rPr>
          </w:pPr>
          <w:r>
            <w:rPr>
              <w:b/>
              <w:sz w:val="20"/>
            </w:rPr>
          </w:r>
        </w:p>
        <w:p>
          <w:pPr>
            <w:pStyle w:val="Normal"/>
            <w:tabs>
              <w:tab w:val="clear" w:pos="720"/>
              <w:tab w:val="left" w:pos="2412" w:leader="none"/>
            </w:tabs>
            <w:ind w:start="2502" w:end="0"/>
            <w:rPr>
              <w:b/>
              <w:sz w:val="20"/>
            </w:rPr>
          </w:pPr>
          <w:r>
            <w:rPr>
              <w:b/>
              <w:sz w:val="20"/>
            </w:rPr>
            <w:t>Enron North America Corp.</w:t>
          </w:r>
        </w:p>
        <w:p>
          <w:pPr>
            <w:pStyle w:val="Normal"/>
            <w:ind w:start="2502" w:end="0"/>
            <w:rPr>
              <w:b/>
              <w:sz w:val="20"/>
            </w:rPr>
          </w:pPr>
          <w:r>
            <w:rPr>
              <w:b/>
              <w:sz w:val="20"/>
            </w:rPr>
            <w:t>P.O. Box 4428</w:t>
          </w:r>
        </w:p>
        <w:p>
          <w:pPr>
            <w:pStyle w:val="Normal"/>
            <w:ind w:start="2502" w:end="0"/>
            <w:rPr>
              <w:b/>
              <w:sz w:val="20"/>
            </w:rPr>
          </w:pPr>
          <w:r>
            <w:rPr>
              <w:b/>
              <w:sz w:val="20"/>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Header"/>
      <w:jc w:val="cent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snapToGrid w:val="false"/>
            <w:rPr/>
          </w:pPr>
          <w:r>
            <w:rPr/>
          </w:r>
        </w:p>
      </w:tc>
      <w:tc>
        <w:tcPr>
          <w:tcW w:w="6210" w:type="dxa"/>
          <w:tcBorders/>
        </w:tcPr>
        <w:p>
          <w:pPr>
            <w:pStyle w:val="Normal"/>
            <w:tabs>
              <w:tab w:val="clear" w:pos="720"/>
              <w:tab w:val="left" w:pos="2412" w:leader="none"/>
            </w:tabs>
            <w:snapToGrid w:val="false"/>
            <w:ind w:start="2502" w:end="0"/>
            <w:rPr>
              <w:sz w:val="20"/>
            </w:rPr>
          </w:pPr>
          <w:r>
            <w:rPr>
              <w:sz w:val="20"/>
            </w:rPr>
          </w:r>
        </w:p>
      </w:tc>
    </w:tr>
  </w:tbl>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snapToGrid w:val="false"/>
            <w:rPr/>
          </w:pPr>
          <w:r>
            <w:rPr/>
          </w:r>
        </w:p>
      </w:tc>
      <w:tc>
        <w:tcPr>
          <w:tcW w:w="6210" w:type="dxa"/>
          <w:tcBorders/>
        </w:tcPr>
        <w:p>
          <w:pPr>
            <w:pStyle w:val="Normal"/>
            <w:tabs>
              <w:tab w:val="clear" w:pos="720"/>
              <w:tab w:val="left" w:pos="2412" w:leader="none"/>
            </w:tabs>
            <w:snapToGrid w:val="false"/>
            <w:ind w:start="2502" w:end="0"/>
            <w:rPr>
              <w:b/>
              <w:sz w:val="20"/>
            </w:rPr>
          </w:pPr>
          <w:r>
            <w:rPr>
              <w:b/>
              <w:sz w:val="20"/>
            </w:rPr>
          </w:r>
        </w:p>
        <w:p>
          <w:pPr>
            <w:pStyle w:val="Normal"/>
            <w:tabs>
              <w:tab w:val="clear" w:pos="720"/>
              <w:tab w:val="left" w:pos="2412" w:leader="none"/>
            </w:tabs>
            <w:ind w:start="2502" w:end="0"/>
            <w:rPr>
              <w:b/>
              <w:sz w:val="20"/>
            </w:rPr>
          </w:pPr>
          <w:r>
            <w:rPr>
              <w:b/>
              <w:sz w:val="20"/>
            </w:rPr>
          </w:r>
        </w:p>
      </w:tc>
    </w:tr>
  </w:tbl>
  <w:p>
    <w:pPr>
      <w:pStyle w:val="Header"/>
      <w:jc w:val="cent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szCs w:val="24"/>
    </w:rPr>
  </w:style>
  <w:style w:type="paragraph" w:styleId="Title">
    <w:name w:val="Title"/>
    <w:basedOn w:val="Normal"/>
    <w:next w:val="BodyText"/>
    <w:qFormat/>
    <w:pPr>
      <w:jc w:val="center"/>
    </w:pPr>
    <w:rPr>
      <w:rFonts w:ascii="Arial Narrow" w:hAnsi="Arial Narrow" w:cs="Arial Narrow"/>
      <w:b/>
      <w:sz w:val="18"/>
    </w:rPr>
  </w:style>
  <w:style w:type="paragraph" w:styleId="BodyText2">
    <w:name w:val="Body Text 2"/>
    <w:basedOn w:val="Normal"/>
    <w:qFormat/>
    <w:pPr>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0.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2000-12-19T13:10:00Z</dcterms:created>
  <dc:creator>jdobern</dc:creator>
  <dc:description/>
  <dc:language>en-CA</dc:language>
  <cp:lastModifiedBy>Mike Cesario</cp:lastModifiedBy>
  <cp:lastPrinted>2000-12-12T11:37:00Z</cp:lastPrinted>
  <dcterms:modified xsi:type="dcterms:W3CDTF">2000-12-20T14:27:00Z</dcterms:modified>
  <cp:revision>5</cp:revision>
  <dc:subject/>
  <dc:title>SAMPLE CONTRACT</dc:title>
</cp:coreProperties>
</file>