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0" w:after="0"/>
        <w:jc w:val="end"/>
        <w:rPr/>
      </w:pPr>
      <w:r>
        <w:rPr/>
        <w:t>MTHM DRAFT</w:t>
      </w:r>
    </w:p>
    <w:p>
      <w:pPr>
        <w:pStyle w:val="Normal"/>
        <w:widowControl/>
        <w:spacing w:before="0" w:after="0"/>
        <w:jc w:val="end"/>
        <w:rPr/>
      </w:pPr>
      <w:r>
        <w:rPr/>
        <w:t>9/8/00</w:t>
      </w:r>
    </w:p>
    <w:p>
      <w:pPr>
        <w:pStyle w:val="Normal"/>
        <w:widowControl/>
        <w:spacing w:before="0" w:after="0"/>
        <w:jc w:val="end"/>
        <w:rPr/>
      </w:pPr>
      <w:r>
        <w:rPr/>
      </w:r>
    </w:p>
    <w:p>
      <w:pPr>
        <w:pStyle w:val="Normal"/>
        <w:widowControl/>
        <w:jc w:val="center"/>
        <w:rPr/>
      </w:pPr>
      <w:r>
        <w:rPr/>
        <w:t>ENRON AGREEMENT</w:t>
      </w:r>
    </w:p>
    <w:p>
      <w:pPr>
        <w:pStyle w:val="Normal"/>
        <w:widowControl/>
        <w:ind w:firstLine="720" w:end="0"/>
        <w:rPr/>
      </w:pPr>
      <w:r>
        <w:rPr/>
        <w:t>This ENRON AGREEMENT dated as of [________ __], 2000 is between Enron Corp., an Oregon corporation ("</w:t>
      </w:r>
      <w:r>
        <w:rPr>
          <w:u w:val="single"/>
        </w:rPr>
        <w:t>Enron</w:t>
      </w:r>
      <w:r>
        <w:rPr/>
        <w:t>"), and Osprey Trust, a Delaware business trust ("</w:t>
      </w:r>
      <w:r>
        <w:rPr>
          <w:u w:val="single"/>
        </w:rPr>
        <w:t>Osprey</w:t>
      </w:r>
      <w:r>
        <w:rPr/>
        <w:t>").</w:t>
      </w:r>
    </w:p>
    <w:p>
      <w:pPr>
        <w:pStyle w:val="Normal"/>
        <w:widowControl/>
        <w:ind w:firstLine="720" w:end="0"/>
        <w:rPr/>
      </w:pPr>
      <w:r>
        <w:rPr/>
        <w:t>WHEREAS, Osprey desires to have the right to exchange certain amounts denominated in United States dollars for an equivalent amount denominated in Euro, and Enron has agreed to exchange United States dollars for Euro, subject to the terms and conditions set forth herein;</w:t>
      </w:r>
    </w:p>
    <w:p>
      <w:pPr>
        <w:pStyle w:val="Normal"/>
        <w:widowControl/>
        <w:ind w:firstLine="720" w:end="0"/>
        <w:rPr/>
      </w:pPr>
      <w:r>
        <w:rPr/>
        <w:t>NOW, THEREFORE, in consideration of the mutual agreements herein contained and other good and valuable consideration, receipt of which is acknowledged, the parties hereto agree as follows:</w:t>
      </w:r>
    </w:p>
    <w:p>
      <w:pPr>
        <w:pStyle w:val="Normal"/>
        <w:widowControl/>
        <w:ind w:firstLine="720" w:end="0"/>
        <w:rPr/>
      </w:pPr>
      <w:r>
        <w:rPr/>
        <w:t xml:space="preserve">Section 1. </w:t>
      </w:r>
      <w:r>
        <w:rPr>
          <w:u w:val="single"/>
        </w:rPr>
        <w:t>Definitions</w:t>
      </w:r>
      <w:r>
        <w:rPr/>
        <w:t>. Capitalized terms used herein that are not otherwise defined herein have the meanings assigned to such terms in the Indenture and the Participation Agreement (including Appendix A thereto).</w:t>
      </w:r>
    </w:p>
    <w:p>
      <w:pPr>
        <w:pStyle w:val="Normal"/>
        <w:widowControl/>
        <w:ind w:firstLine="720" w:end="0"/>
        <w:rPr/>
      </w:pPr>
      <w:r>
        <w:rPr/>
        <w:t>"</w:t>
      </w:r>
      <w:r>
        <w:rPr>
          <w:u w:val="single"/>
        </w:rPr>
        <w:t>Indenture</w:t>
      </w:r>
      <w:r>
        <w:rPr/>
        <w:t>" means the Second Supplemental Indenture, dated as of [________ __], 2000, by and among Osprey, the Co-Issuer, the Indenture Trustee, the Securities Intermediary and the Common Depositary.</w:t>
      </w:r>
    </w:p>
    <w:p>
      <w:pPr>
        <w:pStyle w:val="Normal"/>
        <w:widowControl/>
        <w:ind w:firstLine="720" w:end="0"/>
        <w:rPr/>
      </w:pPr>
      <w:r>
        <w:rPr/>
        <w:t>"</w:t>
      </w:r>
      <w:r>
        <w:rPr>
          <w:u w:val="single"/>
        </w:rPr>
        <w:t>Participation Agreement</w:t>
      </w:r>
      <w:r>
        <w:rPr/>
        <w:t>" means the Participation Agreement, dated as of September 16, 1999, as amended by Amendment No. 1 thereto dated as of July 10, 2000 and Amendment No. 2 thereto dated as of ___________, 2000, by and among Enron, Osprey, Whitewing Management LLC, Whitewing LP, Peregrine, Egret, the Share Trust and the Indenture Trustee (each as defined therein), as the same may be further amended from time to time.</w:t>
      </w:r>
    </w:p>
    <w:p>
      <w:pPr>
        <w:pStyle w:val="Normal"/>
        <w:widowControl/>
        <w:ind w:firstLine="720" w:end="0"/>
        <w:rPr/>
      </w:pPr>
      <w:r>
        <w:rPr/>
        <w:t xml:space="preserve">Section 2. </w:t>
      </w:r>
      <w:r>
        <w:rPr>
          <w:u w:val="single"/>
        </w:rPr>
        <w:t>Currency Option</w:t>
      </w:r>
      <w:r>
        <w:rPr/>
        <w:t>.</w:t>
      </w:r>
    </w:p>
    <w:p>
      <w:pPr>
        <w:pStyle w:val="Normal"/>
        <w:widowControl/>
        <w:numPr>
          <w:ilvl w:val="0"/>
          <w:numId w:val="1"/>
        </w:numPr>
        <w:tabs>
          <w:tab w:val="clear" w:pos="720"/>
          <w:tab w:val="left" w:pos="1080" w:leader="none"/>
        </w:tabs>
        <w:ind w:firstLine="720" w:start="0" w:end="0"/>
        <w:rPr/>
      </w:pPr>
      <w:r>
        <w:rPr/>
        <w:t>By [1:00 p.m.] on the Business Day prior to any Payment Date that is a Payment Date with respect to the Euro Notes, Osprey or its successor or assign shall provide written notice to Enron specifying (i) whether it is exercising its right to receive the Euro Amount from Enron and (ii) if it is exercising such right, the Dollar Amount with respect to that Payment Date; and, in the event that Osprey does exercise such right, Enron shall pay the Euro Amount to Osprey no later than the close of business on such Business Day.  Such notice shall be in the form of Exhibit A attached hereto.</w:t>
      </w:r>
    </w:p>
    <w:p>
      <w:pPr>
        <w:pStyle w:val="Normal"/>
        <w:widowControl/>
        <w:numPr>
          <w:ilvl w:val="0"/>
          <w:numId w:val="1"/>
        </w:numPr>
        <w:tabs>
          <w:tab w:val="clear" w:pos="720"/>
          <w:tab w:val="left" w:pos="1080" w:leader="none"/>
        </w:tabs>
        <w:ind w:firstLine="720" w:start="0" w:end="0"/>
        <w:rPr/>
      </w:pPr>
      <w:r>
        <w:rPr/>
        <w:t>Upon receipt of the Euro Amount from Enron, Osprey shall pay to Enron an amount equal to the Dollar Amount no later than [the close of business on the same Business Day of such receipt, if such receipt occurs by [3:00 p.m.] of such day, otherwise by the next Business Day].</w:t>
      </w:r>
    </w:p>
    <w:p>
      <w:pPr>
        <w:pStyle w:val="Normal"/>
        <w:widowControl/>
        <w:numPr>
          <w:ilvl w:val="0"/>
          <w:numId w:val="1"/>
        </w:numPr>
        <w:tabs>
          <w:tab w:val="clear" w:pos="720"/>
          <w:tab w:val="left" w:pos="1080" w:leader="none"/>
        </w:tabs>
        <w:ind w:firstLine="720" w:start="0" w:end="0"/>
        <w:rPr/>
      </w:pPr>
      <w:r>
        <w:rPr/>
        <w:t>Osprey shall be required, to the extent there is an Amount Available in the Dollar Distribution Account and/or the Dollar Collection Account by [noon] on the Business Day prior to any Payment Date, to exercise its right to receive the Euro Amount hereunder, unless (i) such Payment Date is not a Payment Date for the Euro Notes, (ii) Enron's senior debt rating is downgraded to below "Baa3" by Moody's, below "BBB-" by S&amp;P or below "BBB-" by Fitch or (iii) Osprey can exchange the Dollar Amount for an amount of Euro that is greater than the Euro Amount based on the [spot market conversion rate] in effect at least one Business Day prior to such Payment Date.</w:t>
      </w:r>
    </w:p>
    <w:p>
      <w:pPr>
        <w:pStyle w:val="Normal"/>
        <w:widowControl/>
        <w:ind w:firstLine="720" w:end="0"/>
        <w:rPr/>
      </w:pPr>
      <w:r>
        <w:rPr/>
        <w:t xml:space="preserve">Section 3. </w:t>
      </w:r>
      <w:r>
        <w:rPr>
          <w:u w:val="single"/>
        </w:rPr>
        <w:t>Computations</w:t>
      </w:r>
      <w:r>
        <w:rPr/>
        <w:t>.</w:t>
      </w:r>
    </w:p>
    <w:p>
      <w:pPr>
        <w:pStyle w:val="Normal"/>
        <w:widowControl/>
        <w:numPr>
          <w:ilvl w:val="0"/>
          <w:numId w:val="2"/>
        </w:numPr>
        <w:tabs>
          <w:tab w:val="clear" w:pos="720"/>
          <w:tab w:val="left" w:pos="1080" w:leader="none"/>
        </w:tabs>
        <w:ind w:firstLine="720" w:start="0" w:end="0"/>
        <w:rPr/>
      </w:pPr>
      <w:r>
        <w:rPr/>
        <w:t>The "</w:t>
      </w:r>
      <w:r>
        <w:rPr>
          <w:u w:val="single"/>
        </w:rPr>
        <w:t>Dollar Amount</w:t>
      </w:r>
      <w:r>
        <w:rPr/>
        <w:t>" shall be calculated as follows:</w:t>
      </w:r>
    </w:p>
    <w:p>
      <w:pPr>
        <w:pStyle w:val="Normal"/>
        <w:widowControl/>
        <w:numPr>
          <w:ilvl w:val="0"/>
          <w:numId w:val="5"/>
        </w:numPr>
        <w:tabs>
          <w:tab w:val="clear" w:pos="720"/>
          <w:tab w:val="left" w:pos="1440" w:leader="none"/>
        </w:tabs>
        <w:ind w:firstLine="360" w:start="720" w:end="0"/>
        <w:rPr/>
      </w:pPr>
      <w:r>
        <w:rPr/>
        <w:t>in connection with payments to be made on any Payment Date pursuant to Section 5.04(b)(ii) of the Indenture, to the extent that there is an Amount Available in the Dollar Distribution Account and/or the Dollar Collection Account to pay any portion of the Osprey Interest Amount plus any Default Interest on the Osprey Notes, the Dollar Amount shall equal the product of (1) the quotient of (a) the Euro Interest Amount plus any Default Interest on the Euro Notes (converted into United States dollars at the Fixed Exchange Rate) and (b) the sum of (i) the Euro Interest Amount plus any Default Interest on the Euro Notes (converted into United States dollars at the Fixed Exchange Rate), (ii) the Dollar Interest Amount plus any Default Interest on the Dollar Notes, (iii) the Existing Interest Amount plus any Default Interest on the Existing Notes and (iv) the Additional Interest Amount plus any Default Interest on the Additional Notes, if any, and (2) the lesser of (a) the Amount Available in the Dollar Distribution Account and the Dollar Collection Account and (b) the amount necessary to pay the entire Osprey Interest Amount due and payable plus any Default Interest on such Payment Date.</w:t>
      </w:r>
    </w:p>
    <w:p>
      <w:pPr>
        <w:pStyle w:val="Normal"/>
        <w:widowControl/>
        <w:numPr>
          <w:ilvl w:val="0"/>
          <w:numId w:val="5"/>
        </w:numPr>
        <w:tabs>
          <w:tab w:val="clear" w:pos="720"/>
          <w:tab w:val="left" w:pos="1440" w:leader="none"/>
        </w:tabs>
        <w:ind w:firstLine="360" w:start="720" w:end="0"/>
        <w:rPr/>
      </w:pPr>
      <w:r>
        <w:rPr/>
        <w:t>in connection with payments to be made on any Payment Date pursuant to Section 5.04(c) of the Indenture, the Dollar Amount shall equal the sum of the following:</w:t>
      </w:r>
    </w:p>
    <w:p>
      <w:pPr>
        <w:pStyle w:val="Normal"/>
        <w:widowControl/>
        <w:tabs>
          <w:tab w:val="clear" w:pos="720"/>
          <w:tab w:val="left" w:pos="1800" w:leader="none"/>
        </w:tabs>
        <w:ind w:firstLine="360" w:start="1080" w:end="0"/>
        <w:rPr/>
      </w:pPr>
      <w:r>
        <w:rPr/>
        <w:t>(A)</w:t>
        <w:tab/>
        <w:t>to the extent that there is an Amount Available in the Dollar Distribution Account and/or the Dollar Collection Account to pay any portion of the Osprey Interest Amount, the product of (1) the quotient of (a) the Euro Interest Amount (converted into United States dollars at the Fixed Exchange Rate) and (b) the sum of (i) the Euro Interest Amount (converted into United States dollars at the Fixed Exchange Rate), (ii) the Dollar Interest Amount, (iii) the Existing Interest Amount and (iv) the Additional Interest Amount, if any, and (2) the lesser of (a) the Amount Available in the Dollar Distribution Account and the Dollar Collection Account and (b) the amount necessary to pay the entire Osprey Interest Amount due and payable on such Payment Date; and</w:t>
      </w:r>
    </w:p>
    <w:p>
      <w:pPr>
        <w:pStyle w:val="Normal"/>
        <w:widowControl/>
        <w:numPr>
          <w:ilvl w:val="0"/>
          <w:numId w:val="3"/>
        </w:numPr>
        <w:tabs>
          <w:tab w:val="clear" w:pos="720"/>
          <w:tab w:val="left" w:pos="1800" w:leader="none"/>
        </w:tabs>
        <w:ind w:firstLine="360" w:start="1080" w:end="0"/>
        <w:rPr/>
      </w:pPr>
      <w:r>
        <w:rPr/>
        <w:t xml:space="preserve">to the extent that there is an Amount Available in the Dollar Distribution Account and/or the Dollar Collection Account to pay any portion of the principal of the Osprey Notes (after paying the Osprey Interest Amount pursuant to priority </w:t>
      </w:r>
      <w:r>
        <w:rPr>
          <w:u w:val="single"/>
        </w:rPr>
        <w:t>first</w:t>
      </w:r>
      <w:r>
        <w:rPr/>
        <w:t xml:space="preserve"> under Section 5.04(c) of the Indenture), the product of (1) the quotient of (a) the aggregate principal amount of Euro Notes Outstanding on such Payment Date (converted into United State dollars at the Fixed Exchange Rate) and (b) the sum of (i) the aggregate principal amount of Euro Notes Outstanding on such Payment Date (converted into United States dollars at the Fixed Exchange Rate), (ii) the aggregate principal amount of Dollar Notes Outstanding on such Payment Date, (iii) the aggregate principal amount of Existing Notes Outstanding on such Payment Date and (iv) the aggregate principal amount of Additional Notes Outstanding on such Payment Date and (2) the lesser of (a) the Amount Available in the Dollar Distribution Account and the Dollar Collection Account (after paying the Osprey Interest Amount pursuant to priority </w:t>
      </w:r>
      <w:r>
        <w:rPr>
          <w:u w:val="single"/>
        </w:rPr>
        <w:t>first</w:t>
      </w:r>
      <w:r>
        <w:rPr/>
        <w:t xml:space="preserve"> under Section 5.04(c) of the Indenture) and (b) the amount necessary to reduce the principal amount of all the Osprey Notes Outstanding to zero.</w:t>
      </w:r>
    </w:p>
    <w:p>
      <w:pPr>
        <w:pStyle w:val="Normal"/>
        <w:widowControl/>
        <w:numPr>
          <w:ilvl w:val="0"/>
          <w:numId w:val="5"/>
        </w:numPr>
        <w:tabs>
          <w:tab w:val="clear" w:pos="720"/>
          <w:tab w:val="left" w:pos="1440" w:leader="none"/>
        </w:tabs>
        <w:ind w:firstLine="270" w:start="720" w:end="0"/>
        <w:rPr/>
      </w:pPr>
      <w:r>
        <w:rPr/>
        <w:t>in connection with payments to be made on any Payment Date pursuant to Section 5.04(d) of the Indenture, the Dollar Amount shall equal the sum of the following:</w:t>
      </w:r>
    </w:p>
    <w:p>
      <w:pPr>
        <w:pStyle w:val="Normal"/>
        <w:widowControl/>
        <w:numPr>
          <w:ilvl w:val="0"/>
          <w:numId w:val="4"/>
        </w:numPr>
        <w:tabs>
          <w:tab w:val="clear" w:pos="720"/>
          <w:tab w:val="left" w:pos="1800" w:leader="none"/>
        </w:tabs>
        <w:ind w:firstLine="360" w:start="1080" w:end="0"/>
        <w:rPr/>
      </w:pPr>
      <w:r>
        <w:rPr/>
        <w:t>to the extent that there is an Amount Available in the Dollar Distribution Account and/or the Dollar Collection Account to pay any portion of the Osprey Interest Amount plus any Default Interest on the Osprey Notes, the product of (1) the quotient of (a) the Euro Interest Amount plus any Default Interest on the Euro Notes (converted into United States dollars at the Fixed Exchange Rate) and (b) the sum of (i) the Euro Interest Amount plus any Default Interest on the Euro Notes (converted into United States dollar at the Fixed Exchange Rate), (ii) the Dollar Interest Amount plus any Default Interest on the Dollar Notes, (iii) the Existing Interest Amount plus any Default Interest on the Existing Notes and (iv) the Additional Interest Amount plus any Default Interest on the Additional Notes and (2) the lesser of (a) the Amount Available in the Dollar Distribution Account and the Dollar Collection Account and (b) the amount necessary to pay the entire Osprey Interest Amount due and payable plus any Default Interest on such Payment Date; and</w:t>
      </w:r>
    </w:p>
    <w:p>
      <w:pPr>
        <w:pStyle w:val="Normal"/>
        <w:widowControl/>
        <w:numPr>
          <w:ilvl w:val="0"/>
          <w:numId w:val="4"/>
        </w:numPr>
        <w:tabs>
          <w:tab w:val="clear" w:pos="720"/>
          <w:tab w:val="left" w:pos="1800" w:leader="none"/>
        </w:tabs>
        <w:ind w:firstLine="360" w:start="1080" w:end="0"/>
        <w:rPr/>
      </w:pPr>
      <w:r>
        <w:rPr/>
        <w:t xml:space="preserve">to the extent that there is an Amount Available in the Dollar Distribution Account and/or the Dollar Collection Account to pay any portion of the principal of the Osprey Notes (after paying the Osprey Interest Amount plus any Default Interest on the Osprey Notes pursuant to priority </w:t>
      </w:r>
      <w:r>
        <w:rPr>
          <w:u w:val="single"/>
        </w:rPr>
        <w:t>first</w:t>
      </w:r>
      <w:r>
        <w:rPr/>
        <w:t xml:space="preserve"> under Section 5.04(d) of the Indenture), the product of (1) the quotient of (a) the aggregate principal amount of Euro Notes Outstanding on such Payment Date (converted into United State dollars at the Fixed Exchange Rate) and (b) the sum of (i) the aggregate principal amount of Euro Notes Outstanding on such Payment Date (converted into United States dollars at the Fixed Exchange Rate), (ii) the aggregate principal amount of Dollar Notes Outstanding on such Payment Date, (iii) the aggregate principal amount of Existing Notes Outstanding on such Payment Date and (iv) the aggregate principal amount of Additional Notes Outstanding on such Payment Date and (2) the lesser of (a) the Amount Available in the Dollar Distribution Account and the Dollar Collection Account (after paying the Osprey Interest Amount plus any Default Interest on the Osprey Notes pursuant to priority </w:t>
      </w:r>
      <w:r>
        <w:rPr>
          <w:u w:val="single"/>
        </w:rPr>
        <w:t>first</w:t>
      </w:r>
      <w:r>
        <w:rPr/>
        <w:t xml:space="preserve"> under Section 5.04(d) of the Indenture) and (b) the amount necessary to reduce the principal amount on all the Osprey Notes Outstanding to zero.</w:t>
      </w:r>
    </w:p>
    <w:p>
      <w:pPr>
        <w:pStyle w:val="Normal"/>
        <w:widowControl/>
        <w:numPr>
          <w:ilvl w:val="0"/>
          <w:numId w:val="5"/>
        </w:numPr>
        <w:tabs>
          <w:tab w:val="clear" w:pos="720"/>
          <w:tab w:val="left" w:pos="1440" w:leader="none"/>
        </w:tabs>
        <w:ind w:firstLine="270" w:start="720" w:end="0"/>
        <w:rPr/>
      </w:pPr>
      <w:r>
        <w:rPr/>
        <w:t>in connection with payments to be made on any Payment Date pursuant to Section 5.04(e)(i) or (ii) of the Indenture, to the extent that there is an Amount Available in the Dollar Distribution Account and/or the Dollar Collection to pay any portion of the Optional Redemption Price, the Dollar Amount shall equal the product of (1) the quotient of (a) the aggregate principal amount of Euro Notes Outstanding (converted into United States dollars at the Fixed Exchange Rate) and (b) the sum of (i) the aggregate principal amount of Euro Notes Outstanding (converted into United States dollars at the Fixed Exchange Rate), (ii) the aggregate principal amount of Dollar Notes Outstanding, (iii) the aggregate principal amount of Existing Notes Outstanding and (iv) the aggregate principal amount of Additional Notes Outstanding and (2) the lesser of (a) the Amount Available in the Dollar Distribution Account and the Dollar Collection Account and (b) the amount necessary to pay the entire Optional Redemption Price on the Osprey Notes due and payable on such Payment Date.</w:t>
      </w:r>
    </w:p>
    <w:p>
      <w:pPr>
        <w:pStyle w:val="Normal"/>
        <w:widowControl/>
        <w:numPr>
          <w:ilvl w:val="0"/>
          <w:numId w:val="2"/>
        </w:numPr>
        <w:tabs>
          <w:tab w:val="clear" w:pos="720"/>
          <w:tab w:val="left" w:pos="1080" w:leader="none"/>
        </w:tabs>
        <w:ind w:firstLine="720" w:start="0" w:end="0"/>
        <w:rPr/>
      </w:pPr>
      <w:r>
        <w:rPr/>
        <w:t>The "</w:t>
      </w:r>
      <w:r>
        <w:rPr>
          <w:u w:val="single"/>
        </w:rPr>
        <w:t>Euro Amount</w:t>
      </w:r>
      <w:r>
        <w:rPr/>
        <w:t>" means the product of the Dollar Amount (as determined pursuant to Section 3(a)(i), (ii), (iii) or (iv)) and the Fixed Exchange Rate.</w:t>
      </w:r>
    </w:p>
    <w:p>
      <w:pPr>
        <w:pStyle w:val="Normal"/>
        <w:widowControl/>
        <w:numPr>
          <w:ilvl w:val="0"/>
          <w:numId w:val="2"/>
        </w:numPr>
        <w:tabs>
          <w:tab w:val="clear" w:pos="720"/>
          <w:tab w:val="left" w:pos="1080" w:leader="none"/>
        </w:tabs>
        <w:ind w:firstLine="720" w:start="0" w:end="0"/>
        <w:rPr/>
      </w:pPr>
      <w:r>
        <w:rPr/>
        <w:t>"</w:t>
      </w:r>
      <w:r>
        <w:rPr>
          <w:u w:val="single"/>
        </w:rPr>
        <w:t>Fixed Exchange Rate</w:t>
      </w:r>
      <w:r>
        <w:rPr/>
        <w:t>" means either (i) the amount of United States dollars obtained by converting Euro into United States dollars at the rate of €1.00 to $[        ]or (ii) the amount of Euro obtained by converting United States dollars into Euro at the rate of $1.00 to €[          ], as applicable.</w:t>
      </w:r>
    </w:p>
    <w:p>
      <w:pPr>
        <w:pStyle w:val="Normal"/>
        <w:widowControl/>
        <w:ind w:firstLine="720" w:end="0"/>
        <w:rPr/>
      </w:pPr>
      <w:r>
        <w:rPr/>
        <w:t xml:space="preserve">Section 4.  </w:t>
      </w:r>
      <w:r>
        <w:rPr>
          <w:u w:val="single"/>
        </w:rPr>
        <w:t>Miscellaneous</w:t>
      </w:r>
      <w:r>
        <w:rPr/>
        <w:t>.</w:t>
      </w:r>
    </w:p>
    <w:p>
      <w:pPr>
        <w:pStyle w:val="Normal"/>
        <w:widowControl/>
        <w:ind w:firstLine="720" w:end="0"/>
        <w:rPr/>
      </w:pPr>
      <w:r>
        <w:rPr/>
        <w:t>4.01</w:t>
        <w:tab/>
      </w:r>
      <w:r>
        <w:rPr>
          <w:u w:val="single"/>
        </w:rPr>
        <w:t>Notices</w:t>
      </w:r>
      <w:r>
        <w:rPr/>
        <w:t>.  All notices hereunder shall be made in accordance with the Participation Agreement.</w:t>
      </w:r>
    </w:p>
    <w:p>
      <w:pPr>
        <w:pStyle w:val="Normal"/>
        <w:widowControl/>
        <w:ind w:firstLine="720" w:end="0"/>
        <w:rPr/>
      </w:pPr>
      <w:r>
        <w:rPr/>
        <w:t>4.02</w:t>
        <w:tab/>
      </w:r>
      <w:r>
        <w:rPr>
          <w:u w:val="single"/>
        </w:rPr>
        <w:t>Successors and Assigns</w:t>
      </w:r>
      <w:r>
        <w:rPr/>
        <w:t xml:space="preserve">.  This Agreement shall be binding upon and inure to the benefit of the respective successors and assigns of Enron and Osprey; </w:t>
      </w:r>
      <w:r>
        <w:rPr>
          <w:u w:val="single"/>
        </w:rPr>
        <w:t>provided</w:t>
      </w:r>
      <w:r>
        <w:rPr/>
        <w:t>,</w:t>
      </w:r>
      <w:r>
        <w:rPr>
          <w:u w:val="single"/>
        </w:rPr>
        <w:t xml:space="preserve"> however</w:t>
      </w:r>
      <w:r>
        <w:rPr/>
        <w:t>, that Enron may not assign or transfer its rights or obligations hereunder without the prior written consent of Osprey and Osprey may assign or transfer its rights hereunder only to the Indenture Trustee pursuant to the Assignment and Assumption Agreement.  For the avoidance of doubt, for purposes of this Section 4.02, Enron consents to the assignment of Osprey's rights hereunder to the Indenture Trustee.</w:t>
      </w:r>
    </w:p>
    <w:p>
      <w:pPr>
        <w:pStyle w:val="Normal"/>
        <w:widowControl/>
        <w:ind w:firstLine="720" w:end="0"/>
        <w:rPr/>
      </w:pPr>
      <w:r>
        <w:rPr/>
        <w:t>4.03</w:t>
        <w:tab/>
      </w:r>
      <w:r>
        <w:rPr>
          <w:u w:val="single"/>
        </w:rPr>
        <w:t>Amendments, Etc.</w:t>
      </w:r>
      <w:r>
        <w:rPr/>
        <w:t xml:space="preserve"> The terms of this Agreement may be waived, altered or amended only by an instrument in writing duly executed by Enron and Osprey.</w:t>
      </w:r>
    </w:p>
    <w:p>
      <w:pPr>
        <w:pStyle w:val="Normal"/>
        <w:widowControl/>
        <w:ind w:firstLine="720" w:end="0"/>
        <w:rPr/>
      </w:pPr>
      <w:r>
        <w:rPr/>
        <w:t>4.04</w:t>
        <w:tab/>
      </w:r>
      <w:r>
        <w:rPr>
          <w:u w:val="single"/>
        </w:rPr>
        <w:t>Captions</w:t>
      </w:r>
      <w:r>
        <w:rPr/>
        <w:t>. The captions and section headings appearing herein are included solely for convenience of reference and are not intended to affect the interpretation of any provision of this Agreement.</w:t>
      </w:r>
    </w:p>
    <w:p>
      <w:pPr>
        <w:pStyle w:val="Normal"/>
        <w:widowControl/>
        <w:ind w:firstLine="720" w:end="0"/>
        <w:rPr/>
      </w:pPr>
      <w:r>
        <w:rPr/>
        <w:t>4.05</w:t>
        <w:tab/>
      </w:r>
      <w:r>
        <w:rPr>
          <w:u w:val="single"/>
        </w:rPr>
        <w:t>Counterparts</w:t>
      </w:r>
      <w:r>
        <w:rPr/>
        <w:t>.  This Agreement may be executed in any number of counterparts (including by facsimile transmission), all of which taken together shall constitute one and the same instrument, and either of the parties hereto may execute this Agreement by signing any such counterpart.</w:t>
      </w:r>
    </w:p>
    <w:p>
      <w:pPr>
        <w:pStyle w:val="Normal"/>
        <w:widowControl/>
        <w:ind w:firstLine="720" w:end="0"/>
        <w:rPr/>
      </w:pPr>
      <w:r>
        <w:rPr/>
        <w:t>4.06</w:t>
        <w:tab/>
      </w:r>
      <w:r>
        <w:rPr>
          <w:u w:val="single"/>
        </w:rPr>
        <w:t>Governing Law</w:t>
      </w:r>
      <w:r>
        <w:rPr/>
        <w:t>.  This Agreement shall be governed by, and construed in accordance with, the law of the State of New York.</w:t>
      </w:r>
    </w:p>
    <w:p>
      <w:pPr>
        <w:pStyle w:val="Normal"/>
        <w:widowControl/>
        <w:ind w:firstLine="720" w:end="0"/>
        <w:rPr/>
      </w:pPr>
      <w:r>
        <w:rPr/>
        <w:t>4.07</w:t>
        <w:tab/>
      </w:r>
      <w:r>
        <w:rPr>
          <w:u w:val="single"/>
        </w:rPr>
        <w:t>Severability</w:t>
      </w:r>
      <w:r>
        <w:rPr/>
        <w:t>. If any provision hereof is invalid and unenforceable in any jurisdiction, then, to the fullest extent permitted by law, (i) the other provisions hereof shall remain in full force and effect in such jurisdiction and shall be liberally construed in favor of Osprey in order to carry out the intentions of the parties hereto as nearly as may be possible and (ii) the invalidity or unenforceability of any provision hereof in any jurisdiction shall not affect the validity or enforceability of such provision in any other jurisdiction.</w:t>
      </w:r>
    </w:p>
    <w:p>
      <w:pPr>
        <w:pStyle w:val="Normal"/>
        <w:widowControl/>
        <w:ind w:firstLine="720" w:end="0"/>
        <w:rPr/>
      </w:pPr>
      <w:r>
        <w:rPr/>
        <w:t>4.08.</w:t>
        <w:tab/>
      </w:r>
      <w:r>
        <w:rPr>
          <w:u w:val="single"/>
        </w:rPr>
        <w:t>Limitation of Liability</w:t>
      </w:r>
      <w:r>
        <w:rPr/>
        <w:t xml:space="preserve">.  It is expressly understood and agreed by the parties hereto that with respect to Osprey (a) this Agreement is executed and delivered by Wilmington Trust Company, not individually or personally, but solely as trustee of Osprey, in the exercise of the powers and authority conferred and vested in it under the Osprey Trust Agreement, (b) each of the representations, undertakings and agreements herein made on the part of Osprey is made and intended not as personal representations, undertakings and agreements by Wilmington Trust Company but is made and intended for the purpose of binding only Osprey and (c) under no circumstances shall Wilmington Trust Company be personally liable for the payment of any indebtedness or expenses of Osprey or be liable for the breach or failure of any obligation, representation, warranty or covenant made or undertaken by Osprey under this Agreement or any related documents; </w:t>
      </w:r>
      <w:r>
        <w:rPr>
          <w:u w:val="single"/>
        </w:rPr>
        <w:t>provided</w:t>
      </w:r>
      <w:r>
        <w:rPr/>
        <w:t xml:space="preserve">, </w:t>
      </w:r>
      <w:r>
        <w:rPr>
          <w:u w:val="single"/>
        </w:rPr>
        <w:t>however</w:t>
      </w:r>
      <w:r>
        <w:rPr/>
        <w:t>, that this Section 4.08 shall not limit the liability expressly assumed by Wilmington Trust Company under the Osprey Trust Agreement.</w:t>
      </w:r>
    </w:p>
    <w:p>
      <w:pPr>
        <w:pStyle w:val="Normal"/>
        <w:widowControl/>
        <w:ind w:firstLine="720" w:end="0"/>
        <w:rPr/>
      </w:pPr>
      <w:r>
        <w:rPr/>
        <w:t>4.09.</w:t>
        <w:tab/>
      </w:r>
      <w:r>
        <w:rPr>
          <w:u w:val="single"/>
        </w:rPr>
        <w:t>Termination</w:t>
      </w:r>
      <w:r>
        <w:rPr/>
        <w:t>.  This Agreement shall terminate on the date that is one year and one day after the Senior Note Final Purchase Date.</w:t>
      </w:r>
      <w:r>
        <w:br w:type="page"/>
      </w:r>
    </w:p>
    <w:p>
      <w:pPr>
        <w:pStyle w:val="Normal"/>
        <w:keepNext w:val="true"/>
        <w:widowControl/>
        <w:ind w:firstLine="720" w:end="0"/>
        <w:rPr/>
      </w:pPr>
      <w:r>
        <w:rPr/>
        <w:t>IN WITNESS WHEREOF, the parties hereto have caused this Enron Agreement to be duly executed and delivered as of the day and year first above written.</w:t>
      </w:r>
    </w:p>
    <w:p>
      <w:pPr>
        <w:pStyle w:val="Normal"/>
        <w:widowControl/>
        <w:ind w:firstLine="4320" w:end="0"/>
        <w:rPr/>
      </w:pPr>
      <w:r>
        <w:rPr/>
        <w:t>ENRON CORP.</w:t>
      </w:r>
    </w:p>
    <w:p>
      <w:pPr>
        <w:pStyle w:val="Normal"/>
        <w:widowControl/>
        <w:spacing w:before="0" w:after="0"/>
        <w:ind w:firstLine="4320" w:end="0"/>
        <w:rPr/>
      </w:pPr>
      <w:r>
        <w:rPr/>
        <w:t>By_______________________________</w:t>
      </w:r>
    </w:p>
    <w:p>
      <w:pPr>
        <w:pStyle w:val="Normal"/>
        <w:widowControl/>
        <w:spacing w:before="0" w:after="0"/>
        <w:ind w:firstLine="4590" w:end="0"/>
        <w:rPr/>
      </w:pPr>
      <w:r>
        <w:rPr/>
        <w:t xml:space="preserve">Name:  </w:t>
      </w:r>
    </w:p>
    <w:p>
      <w:pPr>
        <w:pStyle w:val="Normal"/>
        <w:widowControl/>
        <w:ind w:firstLine="4590" w:end="0"/>
        <w:rPr/>
      </w:pPr>
      <w:r>
        <w:rPr/>
        <w:t xml:space="preserve">Title:  </w:t>
      </w:r>
    </w:p>
    <w:p>
      <w:pPr>
        <w:pStyle w:val="Normal"/>
        <w:widowControl/>
        <w:ind w:firstLine="4590" w:end="0"/>
        <w:rPr/>
      </w:pPr>
      <w:r>
        <w:rPr/>
      </w:r>
    </w:p>
    <w:p>
      <w:pPr>
        <w:pStyle w:val="Normal"/>
        <w:widowControl/>
        <w:ind w:firstLine="4320" w:end="0"/>
        <w:rPr/>
      </w:pPr>
      <w:r>
        <w:rPr/>
        <w:t>OSPREY TRUST</w:t>
      </w:r>
    </w:p>
    <w:p>
      <w:pPr>
        <w:pStyle w:val="Normal"/>
        <w:widowControl/>
        <w:ind w:start="4320" w:end="0"/>
        <w:rPr/>
      </w:pPr>
      <w:r>
        <w:rPr/>
        <w:t>By WILMINGTON TRUST COMPANY, not in its individual capacity, but solely as Trustee</w:t>
      </w:r>
    </w:p>
    <w:p>
      <w:pPr>
        <w:pStyle w:val="Normal"/>
        <w:widowControl/>
        <w:spacing w:before="0" w:after="0"/>
        <w:ind w:firstLine="4320" w:end="0"/>
        <w:rPr/>
      </w:pPr>
      <w:r>
        <w:rPr/>
        <w:t>By________________________________</w:t>
      </w:r>
    </w:p>
    <w:p>
      <w:pPr>
        <w:pStyle w:val="Normal"/>
        <w:widowControl/>
        <w:spacing w:before="0" w:after="0"/>
        <w:ind w:firstLine="4590" w:end="0"/>
        <w:rPr/>
      </w:pPr>
      <w:r>
        <w:rPr/>
        <w:t xml:space="preserve">Name:  </w:t>
      </w:r>
    </w:p>
    <w:p>
      <w:pPr>
        <w:sectPr>
          <w:footerReference w:type="default" r:id="rId2"/>
          <w:footerReference w:type="first" r:id="rId3"/>
          <w:type w:val="nextPage"/>
          <w:pgSz w:w="12240" w:h="15840"/>
          <w:pgMar w:left="1440" w:right="1440" w:gutter="0" w:header="0" w:top="1440" w:footer="864" w:bottom="1440"/>
          <w:pgNumType w:fmt="decimal"/>
          <w:formProt w:val="false"/>
          <w:titlePg/>
          <w:textDirection w:val="lrTb"/>
          <w:docGrid w:type="default" w:linePitch="360" w:charSpace="0"/>
        </w:sectPr>
        <w:pStyle w:val="Normal"/>
        <w:widowControl/>
        <w:ind w:firstLine="4590" w:end="0"/>
        <w:rPr/>
      </w:pPr>
      <w:r>
        <w:rPr/>
        <w:t xml:space="preserve">Title:   </w:t>
      </w:r>
    </w:p>
    <w:p>
      <w:pPr>
        <w:pStyle w:val="Normal"/>
        <w:widowControl/>
        <w:jc w:val="center"/>
        <w:rPr/>
      </w:pPr>
      <w:r>
        <w:rPr/>
        <w:t>Exhibit A</w:t>
      </w:r>
    </w:p>
    <w:p>
      <w:pPr>
        <w:pStyle w:val="Normal"/>
        <w:widowControl/>
        <w:jc w:val="center"/>
        <w:rPr/>
      </w:pPr>
      <w:r>
        <w:rPr/>
        <w:t>Form of Notice</w:t>
      </w:r>
    </w:p>
    <w:p>
      <w:pPr>
        <w:pStyle w:val="Normal"/>
        <w:widowControl/>
        <w:rPr/>
      </w:pPr>
      <w:r>
        <w:rPr/>
        <w:t>Date:  ______________</w:t>
      </w:r>
    </w:p>
    <w:p>
      <w:pPr>
        <w:pStyle w:val="Normal"/>
        <w:widowControl/>
        <w:spacing w:before="0" w:after="0"/>
        <w:rPr/>
      </w:pPr>
      <w:r>
        <w:rPr/>
        <w:t>To:</w:t>
        <w:tab/>
        <w:t>Enron Corp.</w:t>
      </w:r>
    </w:p>
    <w:p>
      <w:pPr>
        <w:pStyle w:val="Normal"/>
        <w:widowControl/>
        <w:spacing w:before="0" w:after="0"/>
        <w:ind w:firstLine="720" w:end="0"/>
        <w:rPr/>
      </w:pPr>
      <w:r>
        <w:rPr/>
        <w:t>1400 Smith</w:t>
      </w:r>
    </w:p>
    <w:p>
      <w:pPr>
        <w:pStyle w:val="Normal"/>
        <w:widowControl/>
        <w:ind w:firstLine="720" w:end="0"/>
        <w:rPr/>
      </w:pPr>
      <w:r>
        <w:rPr/>
        <w:t>Houston, Texas  77002</w:t>
      </w:r>
    </w:p>
    <w:p>
      <w:pPr>
        <w:pStyle w:val="Normal"/>
        <w:widowControl/>
        <w:ind w:hanging="720" w:start="1440" w:end="0"/>
        <w:rPr/>
      </w:pPr>
      <w:r>
        <w:rPr/>
        <w:t>Re:</w:t>
        <w:tab/>
        <w:t>Enron Agreement dated [________ __], 2000 between Enron Corp. and Osprey Trust</w:t>
      </w:r>
    </w:p>
    <w:p>
      <w:pPr>
        <w:pStyle w:val="Normal"/>
        <w:widowControl/>
        <w:rPr/>
      </w:pPr>
      <w:r>
        <w:rPr/>
        <w:t>Dear Sir:</w:t>
      </w:r>
    </w:p>
    <w:p>
      <w:pPr>
        <w:pStyle w:val="Normal"/>
        <w:widowControl/>
        <w:rPr/>
      </w:pPr>
      <w:r>
        <w:rPr/>
        <w:t>Reference is hereby made to the above referenced Enron Agreement.  Capitalized terms used herein that are not otherwise defined herein have the meanings assigned to such terms in the Enron Agreement.</w:t>
      </w:r>
    </w:p>
    <w:p>
      <w:pPr>
        <w:pStyle w:val="Normal"/>
        <w:widowControl/>
        <w:rPr/>
      </w:pPr>
      <w:r>
        <w:rPr/>
        <w:t xml:space="preserve">Subject to the limitations set forth therein, notice is hereby given that [Osprey Trust is not exercising its right under the Enron Agreement to receive the Euro Amount from Enron Corp.]/[Osprey Trust is exercising its right under the Enron Agreement to receive the Euro Amount from Enron Corp.  Accordingly, please exchange the Dollar Amount of US$______________, at the Fixed Exchange Rate of $1.00 to €[        ], for the Euro Amount of €_________; </w:t>
      </w:r>
      <w:r>
        <w:rPr>
          <w:u w:val="single"/>
        </w:rPr>
        <w:t>provided</w:t>
      </w:r>
      <w:r>
        <w:rPr/>
        <w:t xml:space="preserve"> that Osprey Trust's obligation to pay Enron Corp. the Dollar Amount of United States dollars shall be subject to its receipt of the foregoing amount of Euro.</w:t>
      </w:r>
    </w:p>
    <w:p>
      <w:pPr>
        <w:pStyle w:val="Normal"/>
        <w:widowControl/>
        <w:rPr/>
      </w:pPr>
      <w:r>
        <w:rPr/>
        <w:t>Please provide wiring instructions to:</w:t>
      </w:r>
    </w:p>
    <w:p>
      <w:pPr>
        <w:pStyle w:val="Normal"/>
        <w:widowControl/>
        <w:rPr/>
      </w:pPr>
      <w:r>
        <w:rPr/>
      </w:r>
    </w:p>
    <w:p>
      <w:pPr>
        <w:pStyle w:val="Normal"/>
        <w:widowControl/>
        <w:rPr/>
      </w:pPr>
      <w:r>
        <w:rPr/>
        <w:t>Please make payment in accordance with the following wiring instructions:</w:t>
      </w:r>
    </w:p>
    <w:p>
      <w:pPr>
        <w:pStyle w:val="Normal"/>
        <w:widowControl/>
        <w:rPr/>
      </w:pPr>
      <w:r>
        <w:rPr/>
      </w:r>
    </w:p>
    <w:p>
      <w:pPr>
        <w:pStyle w:val="Normal"/>
        <w:widowControl/>
        <w:ind w:firstLine="4320" w:end="0"/>
        <w:rPr/>
      </w:pPr>
      <w:r>
        <w:rPr/>
        <w:t>Sincerely,</w:t>
      </w:r>
    </w:p>
    <w:p>
      <w:pPr>
        <w:pStyle w:val="Normal"/>
        <w:widowControl/>
        <w:ind w:firstLine="4320" w:end="0"/>
        <w:rPr/>
      </w:pPr>
      <w:r>
        <w:rPr/>
        <w:t>OSPREY TRUST</w:t>
      </w:r>
    </w:p>
    <w:p>
      <w:pPr>
        <w:pStyle w:val="Normal"/>
        <w:widowControl/>
        <w:ind w:start="4320" w:end="0"/>
        <w:rPr/>
      </w:pPr>
      <w:r>
        <w:rPr/>
        <w:t>By WILMINGTON TRUST COMPANY, not in its individual capacity, but solely as Trustee</w:t>
      </w:r>
    </w:p>
    <w:p>
      <w:pPr>
        <w:pStyle w:val="Normal"/>
        <w:widowControl/>
        <w:spacing w:before="0" w:after="0"/>
        <w:ind w:firstLine="4320" w:end="0"/>
        <w:rPr/>
      </w:pPr>
      <w:r>
        <w:rPr/>
        <w:t>By________________________________</w:t>
      </w:r>
    </w:p>
    <w:p>
      <w:pPr>
        <w:pStyle w:val="Normal"/>
        <w:widowControl/>
        <w:spacing w:before="0" w:after="0"/>
        <w:ind w:firstLine="4590" w:end="0"/>
        <w:rPr/>
      </w:pPr>
      <w:r>
        <w:rPr/>
        <w:t xml:space="preserve">Name:  </w:t>
      </w:r>
    </w:p>
    <w:p>
      <w:pPr>
        <w:pStyle w:val="Normal"/>
        <w:widowControl/>
        <w:spacing w:before="0" w:after="240"/>
        <w:ind w:firstLine="4590" w:end="0"/>
        <w:rPr/>
      </w:pPr>
      <w:r>
        <w:rPr/>
        <w:t xml:space="preserve">Title:   </w:t>
      </w:r>
    </w:p>
    <w:sectPr>
      <w:headerReference w:type="default" r:id="rId4"/>
      <w:footerReference w:type="default" r:id="rId5"/>
      <w:footerReference w:type="first" r:id="rId6"/>
      <w:type w:val="nextPage"/>
      <w:pgSz w:w="12240" w:h="15840"/>
      <w:pgMar w:left="1440" w:right="1440" w:gutter="0" w:header="1440" w:top="149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xBrc24"/>
      <w:tabs>
        <w:tab w:val="clear" w:pos="720"/>
        <w:tab w:val="decimal" w:pos="-1530" w:leader="none"/>
        <w:tab w:val="center" w:pos="5040" w:leader="none"/>
        <w:tab w:val="left" w:pos="7704" w:leader="none"/>
      </w:tabs>
      <w:spacing w:lineRule="exact" w:line="200" w:before="0" w:after="0"/>
      <w:jc w:val="start"/>
      <w:rPr/>
    </w:pPr>
    <w:r>
      <w:rPr>
        <w:rStyle w:val="zzmpTrailerItem"/>
      </w:rPr>
      <w:t>NY3:#7250622v3</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spacing w:before="0" w:after="240"/>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spacing w:before="0" w:after="240"/>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1">
              <wp:simplePos x="0" y="0"/>
              <wp:positionH relativeFrom="page">
                <wp:posOffset>1006475</wp:posOffset>
              </wp:positionH>
              <wp:positionV relativeFrom="paragraph">
                <wp:posOffset>3810</wp:posOffset>
              </wp:positionV>
              <wp:extent cx="14605" cy="12700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27000"/>
                      </a:xfrm>
                      <a:prstGeom prst="rect"/>
                      <a:solidFill>
                        <a:srgbClr val="FFFFFF">
                          <a:alpha val="0"/>
                        </a:srgbClr>
                      </a:solidFill>
                    </wps:spPr>
                    <wps:txbx>
                      <w:txbxContent>
                        <w:p>
                          <w:pPr>
                            <w:pStyle w:val="Footer"/>
                            <w:spacing w:lineRule="exact" w:line="200" w:before="0" w:after="0"/>
                            <w:rPr>
                              <w:rStyle w:val="PageNumber"/>
                            </w:rPr>
                          </w:pPr>
                          <w:r>
                            <w:rPr/>
                          </w:r>
                        </w:p>
                      </w:txbxContent>
                    </wps:txbx>
                    <wps:bodyPr anchor="t" lIns="0" tIns="0" rIns="0" bIns="0">
                      <a:noAutofit/>
                    </wps:bodyPr>
                  </wps:wsp>
                </a:graphicData>
              </a:graphic>
            </wp:anchor>
          </w:drawing>
        </mc:Choice>
        <mc:Fallback>
          <w:pict>
            <v:rect fillcolor="#FFFFFF" style="position:absolute;rotation:-0;width:1.15pt;height:10pt;mso-wrap-distance-left:0pt;mso-wrap-distance-right:0pt;mso-wrap-distance-top:0pt;mso-wrap-distance-bottom:0pt;margin-top:0.3pt;mso-position-vertical-relative:text;margin-left:79.25pt;mso-position-horizontal-relative:page">
              <v:fill opacity="0f"/>
              <v:textbox inset="0in,0in,0in,0in">
                <w:txbxContent>
                  <w:p>
                    <w:pPr>
                      <w:pStyle w:val="Footer"/>
                      <w:spacing w:lineRule="exact" w:line="200" w:before="0" w:after="0"/>
                      <w:rPr>
                        <w:rStyle w:val="PageNumber"/>
                      </w:rPr>
                    </w:pPr>
                    <w:r>
                      <w:rPr/>
                    </w:r>
                  </w:p>
                </w:txbxContent>
              </v:textbox>
              <w10:wrap type="square"/>
            </v:rect>
          </w:pict>
        </mc:Fallback>
      </mc:AlternateContent>
    </w:r>
  </w:p>
  <w:p>
    <w:pPr>
      <w:pStyle w:val="TxBrc24"/>
      <w:tabs>
        <w:tab w:val="clear" w:pos="720"/>
        <w:tab w:val="decimal" w:pos="-1530" w:leader="none"/>
        <w:tab w:val="center" w:pos="4680" w:leader="none"/>
        <w:tab w:val="center" w:pos="5040" w:leader="none"/>
        <w:tab w:val="left" w:pos="7704" w:leader="none"/>
      </w:tabs>
      <w:spacing w:lineRule="exact" w:line="200" w:before="0" w:after="240"/>
      <w:jc w:val="start"/>
      <w:rPr/>
    </w:pPr>
    <w:r>
      <w:rPr>
        <w:rStyle w:val="zzmpTrailerItem"/>
      </w:rPr>
      <w:tab/>
    </w:r>
    <w:r>
      <w:rPr>
        <w:sz w:val="20"/>
      </w:rPr>
      <w:t>Enron Agreement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before="0" w:after="0"/>
      <w:rPr/>
    </w:pPr>
    <w:r>
      <w:rPr>
        <w:rStyle w:val="zzmpTrailerItem"/>
      </w:rPr>
      <w:t>NY3:#7250622v3</w:t>
    </w:r>
  </w:p>
  <w:p>
    <w:pPr>
      <w:pStyle w:val="Footer"/>
      <w:tabs>
        <w:tab w:val="clear" w:pos="4320"/>
        <w:tab w:val="center" w:pos="4680" w:leader="none"/>
        <w:tab w:val="right" w:pos="8640" w:leader="none"/>
      </w:tabs>
      <w:spacing w:lineRule="exact" w:line="200" w:before="0" w:after="240"/>
      <w:rPr/>
    </w:pPr>
    <w:r>
      <w:rPr/>
      <w:tab/>
    </w:r>
    <w:r>
      <w:rPr>
        <w:sz w:val="20"/>
      </w:rPr>
      <w:t>Enron Agreement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NY3:#7250622v3</w:t>
      <w:tab/>
    </w:r>
  </w:p>
  <w:p>
    <w:pPr>
      <w:pStyle w:val="Footer"/>
      <w:tabs>
        <w:tab w:val="clear" w:pos="4320"/>
        <w:tab w:val="center" w:pos="4680" w:leader="none"/>
        <w:tab w:val="right" w:pos="8640" w:leader="none"/>
      </w:tabs>
      <w:spacing w:lineRule="exact" w:line="200" w:before="0" w:after="240"/>
      <w:rPr/>
    </w:pPr>
    <w:r>
      <w:rPr>
        <w:sz w:val="20"/>
      </w:rPr>
      <w:tab/>
      <w:t>Enron Agreement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lowerLetter"/>
      <w:lvlText w:val="%1."/>
      <w:lvlJc w:val="start"/>
      <w:pPr>
        <w:tabs>
          <w:tab w:val="num" w:pos="360"/>
        </w:tabs>
        <w:ind w:start="360" w:hanging="360"/>
      </w:pPr>
      <w:rPr/>
    </w:lvl>
  </w:abstractNum>
  <w:abstractNum w:abstractNumId="3">
    <w:lvl w:ilvl="0">
      <w:start w:val="2"/>
      <w:numFmt w:val="upperLetter"/>
      <w:lvlText w:val="(%1)"/>
      <w:lvlJc w:val="start"/>
      <w:pPr>
        <w:tabs>
          <w:tab w:val="num" w:pos="1800"/>
        </w:tabs>
        <w:ind w:start="1800" w:hanging="360"/>
      </w:pPr>
      <w:rPr/>
    </w:lvl>
  </w:abstractNum>
  <w:abstractNum w:abstractNumId="4">
    <w:lvl w:ilvl="0">
      <w:start w:val="1"/>
      <w:numFmt w:val="upperLetter"/>
      <w:lvlText w:val="(%1)"/>
      <w:lvlJc w:val="start"/>
      <w:pPr>
        <w:tabs>
          <w:tab w:val="num" w:pos="1440"/>
        </w:tabs>
        <w:ind w:start="1440" w:hanging="360"/>
      </w:pPr>
      <w:rPr/>
    </w:lvl>
  </w:abstractNum>
  <w:abstractNum w:abstractNumId="5">
    <w:lvl w:ilvl="0">
      <w:start w:val="1"/>
      <w:numFmt w:val="lowerRoman"/>
      <w:lvlText w:val="(%1)"/>
      <w:lvlJc w:val="start"/>
      <w:pPr>
        <w:tabs>
          <w:tab w:val="num" w:pos="1800"/>
        </w:tabs>
        <w:ind w:start="1800" w:hanging="72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DOC_ID" w:val="H:\Docs\Enron Agreement.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0" w:after="240"/>
    </w:pPr>
    <w:rPr>
      <w:rFonts w:ascii="Times New Roman" w:hAnsi="Times New Roman" w:eastAsia="Times New Roman" w:cs="Times New Roman"/>
      <w:color w:val="auto"/>
      <w:sz w:val="24"/>
      <w:szCs w:val="20"/>
      <w:lang w:val="en-US" w:eastAsia="en-US"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zzmpTrailerItem">
    <w:name w:val="zzmpTrailerItem"/>
    <w:basedOn w:val="DefaultParagraphFont"/>
    <w:qFormat/>
    <w:rPr>
      <w:sz w:val="16"/>
      <w:effect w:val="blinkBackground"/>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xBrp0">
    <w:name w:val="TxBr_p0"/>
    <w:basedOn w:val="Normal"/>
    <w:qFormat/>
    <w:pPr>
      <w:tabs>
        <w:tab w:val="clear" w:pos="720"/>
        <w:tab w:val="left" w:pos="204" w:leader="none"/>
      </w:tabs>
      <w:spacing w:lineRule="atLeast" w:line="240"/>
      <w:jc w:val="both"/>
    </w:pPr>
    <w:rPr/>
  </w:style>
  <w:style w:type="paragraph" w:styleId="TxBrc1">
    <w:name w:val="TxBr_c1"/>
    <w:basedOn w:val="Normal"/>
    <w:qFormat/>
    <w:pPr>
      <w:spacing w:lineRule="atLeast" w:line="240"/>
      <w:jc w:val="center"/>
    </w:pPr>
    <w:rPr/>
  </w:style>
  <w:style w:type="paragraph" w:styleId="TxBrp2">
    <w:name w:val="TxBr_p2"/>
    <w:basedOn w:val="Normal"/>
    <w:qFormat/>
    <w:pPr>
      <w:tabs>
        <w:tab w:val="clear" w:pos="720"/>
        <w:tab w:val="left" w:pos="1417" w:leader="none"/>
      </w:tabs>
      <w:spacing w:lineRule="atLeast" w:line="272"/>
      <w:ind w:firstLine="1418" w:start="0" w:end="0"/>
      <w:jc w:val="both"/>
    </w:pPr>
    <w:rPr/>
  </w:style>
  <w:style w:type="paragraph" w:styleId="TxBrp3">
    <w:name w:val="TxBr_p3"/>
    <w:basedOn w:val="Normal"/>
    <w:qFormat/>
    <w:pPr>
      <w:tabs>
        <w:tab w:val="clear" w:pos="720"/>
        <w:tab w:val="left" w:pos="1422" w:leader="none"/>
      </w:tabs>
      <w:spacing w:lineRule="atLeast" w:line="272"/>
      <w:ind w:firstLine="1423" w:start="0" w:end="0"/>
      <w:jc w:val="both"/>
    </w:pPr>
    <w:rPr/>
  </w:style>
  <w:style w:type="paragraph" w:styleId="TxBrp4">
    <w:name w:val="TxBr_p4"/>
    <w:basedOn w:val="Normal"/>
    <w:qFormat/>
    <w:pPr>
      <w:tabs>
        <w:tab w:val="clear" w:pos="720"/>
        <w:tab w:val="left" w:pos="204" w:leader="none"/>
      </w:tabs>
      <w:spacing w:lineRule="atLeast" w:line="240"/>
      <w:jc w:val="both"/>
    </w:pPr>
    <w:rPr/>
  </w:style>
  <w:style w:type="paragraph" w:styleId="TxBrc5">
    <w:name w:val="TxBr_c5"/>
    <w:basedOn w:val="Normal"/>
    <w:qFormat/>
    <w:pPr>
      <w:spacing w:lineRule="atLeast" w:line="240"/>
      <w:jc w:val="center"/>
    </w:pPr>
    <w:rPr/>
  </w:style>
  <w:style w:type="paragraph" w:styleId="TxBrp6">
    <w:name w:val="TxBr_p6"/>
    <w:basedOn w:val="Normal"/>
    <w:qFormat/>
    <w:pPr>
      <w:tabs>
        <w:tab w:val="clear" w:pos="720"/>
        <w:tab w:val="left" w:pos="1422" w:leader="none"/>
        <w:tab w:val="left" w:pos="2035" w:leader="none"/>
      </w:tabs>
      <w:spacing w:lineRule="atLeast" w:line="272"/>
      <w:ind w:firstLine="1423" w:start="0" w:end="0"/>
      <w:jc w:val="both"/>
    </w:pPr>
    <w:rPr/>
  </w:style>
  <w:style w:type="paragraph" w:styleId="TxBrp7">
    <w:name w:val="TxBr_p7"/>
    <w:basedOn w:val="Normal"/>
    <w:qFormat/>
    <w:pPr>
      <w:tabs>
        <w:tab w:val="clear" w:pos="720"/>
        <w:tab w:val="left" w:pos="204" w:leader="none"/>
      </w:tabs>
      <w:spacing w:lineRule="atLeast" w:line="240"/>
    </w:pPr>
    <w:rPr/>
  </w:style>
  <w:style w:type="paragraph" w:styleId="TxBrp8">
    <w:name w:val="TxBr_p8"/>
    <w:basedOn w:val="Normal"/>
    <w:qFormat/>
    <w:pPr>
      <w:tabs>
        <w:tab w:val="clear" w:pos="720"/>
        <w:tab w:val="left" w:pos="1417" w:leader="none"/>
      </w:tabs>
      <w:spacing w:lineRule="atLeast" w:line="240"/>
      <w:ind w:hanging="0" w:start="44" w:end="0"/>
    </w:pPr>
    <w:rPr/>
  </w:style>
  <w:style w:type="paragraph" w:styleId="TxBrp9">
    <w:name w:val="TxBr_p9"/>
    <w:basedOn w:val="Normal"/>
    <w:qFormat/>
    <w:pPr>
      <w:tabs>
        <w:tab w:val="clear" w:pos="720"/>
        <w:tab w:val="left" w:pos="1417" w:leader="none"/>
        <w:tab w:val="left" w:pos="2023" w:leader="none"/>
      </w:tabs>
      <w:spacing w:lineRule="atLeast" w:line="272"/>
      <w:ind w:firstLine="1418" w:start="0" w:end="0"/>
      <w:jc w:val="both"/>
    </w:pPr>
    <w:rPr/>
  </w:style>
  <w:style w:type="paragraph" w:styleId="TxBrp10">
    <w:name w:val="TxBr_p10"/>
    <w:basedOn w:val="Normal"/>
    <w:qFormat/>
    <w:pPr>
      <w:tabs>
        <w:tab w:val="clear" w:pos="720"/>
        <w:tab w:val="left" w:pos="198" w:leader="none"/>
      </w:tabs>
      <w:spacing w:lineRule="atLeast" w:line="240"/>
      <w:ind w:hanging="198" w:start="1263" w:end="0"/>
      <w:jc w:val="both"/>
    </w:pPr>
    <w:rPr/>
  </w:style>
  <w:style w:type="paragraph" w:styleId="TxBrp11">
    <w:name w:val="TxBr_p11"/>
    <w:basedOn w:val="Normal"/>
    <w:qFormat/>
    <w:pPr>
      <w:tabs>
        <w:tab w:val="clear" w:pos="720"/>
        <w:tab w:val="left" w:pos="204" w:leader="none"/>
      </w:tabs>
      <w:spacing w:lineRule="atLeast" w:line="240"/>
    </w:pPr>
    <w:rPr/>
  </w:style>
  <w:style w:type="paragraph" w:styleId="TxBrp12">
    <w:name w:val="TxBr_p12"/>
    <w:basedOn w:val="Normal"/>
    <w:qFormat/>
    <w:pPr>
      <w:tabs>
        <w:tab w:val="clear" w:pos="720"/>
        <w:tab w:val="left" w:pos="204" w:leader="none"/>
      </w:tabs>
      <w:spacing w:lineRule="atLeast" w:line="283"/>
    </w:pPr>
    <w:rPr/>
  </w:style>
  <w:style w:type="paragraph" w:styleId="TxBrp13">
    <w:name w:val="TxBr_p13"/>
    <w:basedOn w:val="Normal"/>
    <w:qFormat/>
    <w:pPr>
      <w:spacing w:lineRule="atLeast" w:line="240"/>
      <w:ind w:hanging="187" w:start="1275" w:end="0"/>
    </w:pPr>
    <w:rPr/>
  </w:style>
  <w:style w:type="paragraph" w:styleId="TxBrp14">
    <w:name w:val="TxBr_p14"/>
    <w:basedOn w:val="Normal"/>
    <w:qFormat/>
    <w:pPr>
      <w:tabs>
        <w:tab w:val="clear" w:pos="720"/>
        <w:tab w:val="left" w:pos="204" w:leader="none"/>
      </w:tabs>
      <w:spacing w:lineRule="atLeast" w:line="240"/>
    </w:pPr>
    <w:rPr/>
  </w:style>
  <w:style w:type="paragraph" w:styleId="TxBrp15">
    <w:name w:val="TxBr_p15"/>
    <w:basedOn w:val="Normal"/>
    <w:qFormat/>
    <w:pPr>
      <w:tabs>
        <w:tab w:val="clear" w:pos="720"/>
        <w:tab w:val="left" w:pos="1394" w:leader="none"/>
      </w:tabs>
      <w:spacing w:lineRule="atLeast" w:line="833"/>
      <w:ind w:firstLine="1395" w:start="0" w:end="0"/>
    </w:pPr>
    <w:rPr/>
  </w:style>
  <w:style w:type="paragraph" w:styleId="TxBrp16">
    <w:name w:val="TxBr_p16"/>
    <w:basedOn w:val="Normal"/>
    <w:qFormat/>
    <w:pPr>
      <w:tabs>
        <w:tab w:val="clear" w:pos="720"/>
        <w:tab w:val="left" w:pos="4302" w:leader="none"/>
      </w:tabs>
      <w:spacing w:lineRule="atLeast" w:line="240"/>
      <w:ind w:hanging="0" w:start="2841" w:end="0"/>
    </w:pPr>
    <w:rPr/>
  </w:style>
  <w:style w:type="paragraph" w:styleId="TxBrc17">
    <w:name w:val="TxBr_c17"/>
    <w:basedOn w:val="Normal"/>
    <w:qFormat/>
    <w:pPr>
      <w:spacing w:lineRule="atLeast" w:line="240"/>
      <w:jc w:val="center"/>
    </w:pPr>
    <w:rPr/>
  </w:style>
  <w:style w:type="paragraph" w:styleId="TxBrp18">
    <w:name w:val="TxBr_p18"/>
    <w:basedOn w:val="Normal"/>
    <w:qFormat/>
    <w:pPr>
      <w:tabs>
        <w:tab w:val="clear" w:pos="720"/>
        <w:tab w:val="left" w:pos="4580" w:leader="none"/>
      </w:tabs>
      <w:spacing w:lineRule="atLeast" w:line="240"/>
      <w:ind w:hanging="0" w:start="3119" w:end="0"/>
    </w:pPr>
    <w:rPr/>
  </w:style>
  <w:style w:type="paragraph" w:styleId="TxBrp19">
    <w:name w:val="TxBr_p19"/>
    <w:basedOn w:val="Normal"/>
    <w:qFormat/>
    <w:pPr>
      <w:tabs>
        <w:tab w:val="clear" w:pos="720"/>
        <w:tab w:val="left" w:pos="4977" w:leader="none"/>
      </w:tabs>
      <w:spacing w:lineRule="atLeast" w:line="240"/>
      <w:ind w:hanging="0" w:start="3516" w:end="0"/>
    </w:pPr>
    <w:rPr/>
  </w:style>
  <w:style w:type="paragraph" w:styleId="TxBrp20">
    <w:name w:val="TxBr_p20"/>
    <w:basedOn w:val="Normal"/>
    <w:qFormat/>
    <w:pPr>
      <w:tabs>
        <w:tab w:val="clear" w:pos="720"/>
        <w:tab w:val="left" w:pos="7704" w:leader="none"/>
      </w:tabs>
      <w:spacing w:lineRule="atLeast" w:line="240"/>
      <w:ind w:hanging="0" w:start="6243" w:end="0"/>
    </w:pPr>
    <w:rPr/>
  </w:style>
  <w:style w:type="paragraph" w:styleId="TxBrc21">
    <w:name w:val="TxBr_c21"/>
    <w:basedOn w:val="Normal"/>
    <w:qFormat/>
    <w:pPr>
      <w:spacing w:lineRule="atLeast" w:line="240"/>
      <w:jc w:val="center"/>
    </w:pPr>
    <w:rPr/>
  </w:style>
  <w:style w:type="paragraph" w:styleId="TxBrc22">
    <w:name w:val="TxBr_c22"/>
    <w:basedOn w:val="Normal"/>
    <w:qFormat/>
    <w:pPr>
      <w:spacing w:lineRule="atLeast" w:line="240"/>
      <w:jc w:val="center"/>
    </w:pPr>
    <w:rPr/>
  </w:style>
  <w:style w:type="paragraph" w:styleId="TxBrp23">
    <w:name w:val="TxBr_p23"/>
    <w:basedOn w:val="Normal"/>
    <w:qFormat/>
    <w:pPr>
      <w:tabs>
        <w:tab w:val="clear" w:pos="720"/>
        <w:tab w:val="left" w:pos="204" w:leader="none"/>
      </w:tabs>
      <w:spacing w:lineRule="atLeast" w:line="272"/>
    </w:pPr>
    <w:rPr/>
  </w:style>
  <w:style w:type="paragraph" w:styleId="TxBrc24">
    <w:name w:val="TxBr_c24"/>
    <w:basedOn w:val="Normal"/>
    <w:qFormat/>
    <w:pPr>
      <w:spacing w:lineRule="atLeast" w:line="240"/>
      <w:jc w:val="center"/>
    </w:pPr>
    <w:rPr/>
  </w:style>
  <w:style w:type="paragraph" w:styleId="TxBrp25">
    <w:name w:val="TxBr_p25"/>
    <w:basedOn w:val="Normal"/>
    <w:qFormat/>
    <w:pPr>
      <w:tabs>
        <w:tab w:val="clear" w:pos="720"/>
        <w:tab w:val="left" w:pos="549" w:leader="none"/>
      </w:tabs>
      <w:spacing w:lineRule="atLeast" w:line="240"/>
      <w:ind w:hanging="549" w:start="912" w:end="0"/>
    </w:pPr>
    <w:rPr/>
  </w:style>
  <w:style w:type="paragraph" w:styleId="TxBrp26">
    <w:name w:val="TxBr_p26"/>
    <w:basedOn w:val="Normal"/>
    <w:qFormat/>
    <w:pPr>
      <w:spacing w:lineRule="atLeast" w:line="240"/>
      <w:ind w:hanging="0" w:start="912" w:end="0"/>
    </w:pPr>
    <w:rPr/>
  </w:style>
  <w:style w:type="paragraph" w:styleId="TxBrp27">
    <w:name w:val="TxBr_p27"/>
    <w:basedOn w:val="Normal"/>
    <w:qFormat/>
    <w:pPr>
      <w:tabs>
        <w:tab w:val="clear" w:pos="720"/>
        <w:tab w:val="left" w:pos="549" w:leader="none"/>
        <w:tab w:val="left" w:pos="1247" w:leader="none"/>
      </w:tabs>
      <w:spacing w:lineRule="atLeast" w:line="272"/>
      <w:ind w:hanging="697" w:start="1247"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2000-09-09T03:37:00Z</dcterms:created>
  <dc:creator>SAseltta</dc:creator>
  <dc:description/>
  <dc:language>en-CA</dc:language>
  <cp:lastModifiedBy>Joy K. Gallup</cp:lastModifiedBy>
  <cp:lastPrinted>2000-09-09T02:04:00Z</cp:lastPrinted>
  <dcterms:modified xsi:type="dcterms:W3CDTF">2000-09-09T03:37:00Z</dcterms:modified>
  <cp:revision>2</cp:revision>
  <dc:subject/>
  <dc:title>CURRENCY OPTION AGREEMENT</dc:title>
</cp:coreProperties>
</file>