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pPr>
      <w:r>
        <w:rPr/>
        <w:t>ADDENDUM</w:t>
      </w:r>
    </w:p>
    <w:p>
      <w:pPr>
        <w:pStyle w:val="Normal"/>
        <w:widowControl/>
        <w:jc w:val="center"/>
        <w:rPr/>
      </w:pPr>
      <w:r>
        <w:rPr/>
        <w:t>to the</w:t>
      </w:r>
    </w:p>
    <w:p>
      <w:pPr>
        <w:pStyle w:val="Normal"/>
        <w:widowControl/>
        <w:jc w:val="center"/>
        <w:rPr/>
      </w:pPr>
      <w:r>
        <w:rPr/>
        <w:t xml:space="preserve">Credit Support Annex </w:t>
      </w:r>
    </w:p>
    <w:p>
      <w:pPr>
        <w:pStyle w:val="Normal"/>
        <w:widowControl/>
        <w:jc w:val="center"/>
        <w:rPr/>
      </w:pPr>
      <w:r>
        <w:rPr/>
        <w:t>to the Schedule to the Master Agreement</w:t>
      </w:r>
    </w:p>
    <w:p>
      <w:pPr>
        <w:pStyle w:val="Normal"/>
        <w:widowControl/>
        <w:jc w:val="center"/>
        <w:rPr/>
      </w:pPr>
      <w:r>
        <w:rPr/>
        <w:t>dated as of _______, 2000</w:t>
      </w:r>
    </w:p>
    <w:p>
      <w:pPr>
        <w:pStyle w:val="Normal"/>
        <w:widowControl/>
        <w:jc w:val="center"/>
        <w:rPr/>
      </w:pPr>
      <w:r>
        <w:rPr/>
        <w:t>between PRESIDENT AND FELLOWS OF HARVARD COLLEGE ("Party A")</w:t>
      </w:r>
    </w:p>
    <w:p>
      <w:pPr>
        <w:pStyle w:val="Normal"/>
        <w:widowControl/>
        <w:jc w:val="center"/>
        <w:rPr/>
      </w:pPr>
      <w:r>
        <w:rPr/>
        <w:t>and ENRON NORTH AMERICA CORPORATION ("Party B")</w:t>
      </w:r>
    </w:p>
    <w:p>
      <w:pPr>
        <w:pStyle w:val="Normal"/>
        <w:widowControl/>
        <w:rPr/>
      </w:pPr>
      <w:r>
        <w:rPr/>
      </w:r>
    </w:p>
    <w:p>
      <w:pPr>
        <w:pStyle w:val="Normal"/>
        <w:widowControl/>
        <w:rPr/>
      </w:pPr>
      <w:r>
        <w:rPr/>
      </w:r>
    </w:p>
    <w:p>
      <w:pPr>
        <w:pStyle w:val="Normal"/>
        <w:widowControl/>
        <w:ind w:firstLine="720" w:end="0"/>
        <w:rPr/>
      </w:pPr>
      <w:r>
        <w:rPr/>
        <w:t>This Addendum supplements and constitutes a part of the Credit Support Annex to the Schedule to the Master Agreement dated as of _______, 2000 between Party A and Party B.  In case of any conflict between the Annex and this Addendum, this Addendum will control.</w:t>
      </w:r>
    </w:p>
    <w:p>
      <w:pPr>
        <w:pStyle w:val="Normal"/>
        <w:widowControl/>
        <w:rPr/>
      </w:pPr>
      <w:r>
        <w:rPr/>
      </w:r>
    </w:p>
    <w:p>
      <w:pPr>
        <w:pStyle w:val="Normal"/>
        <w:widowControl/>
        <w:rPr>
          <w:u w:val="single"/>
        </w:rPr>
      </w:pPr>
      <w:r>
        <w:rPr>
          <w:u w:val="single"/>
        </w:rPr>
        <w:t>Part I -- Specification of Elections and Variables</w:t>
      </w:r>
    </w:p>
    <w:p>
      <w:pPr>
        <w:pStyle w:val="Normal"/>
        <w:widowControl/>
        <w:rPr/>
      </w:pPr>
      <w:r>
        <w:rPr/>
      </w:r>
    </w:p>
    <w:p>
      <w:pPr>
        <w:pStyle w:val="Normal"/>
        <w:widowControl/>
        <w:rPr/>
      </w:pPr>
      <w:r>
        <w:rPr/>
        <w:t xml:space="preserve">Paragraph 13 of the Annex is amended by deleting it and restating it in full as follows:  </w:t>
      </w:r>
    </w:p>
    <w:p>
      <w:pPr>
        <w:pStyle w:val="Normal"/>
        <w:widowControl/>
        <w:rPr/>
      </w:pPr>
      <w:r>
        <w:rPr/>
      </w:r>
    </w:p>
    <w:p>
      <w:pPr>
        <w:pStyle w:val="Normal"/>
        <w:widowControl/>
        <w:rPr/>
      </w:pPr>
      <w:r>
        <w:rPr/>
        <w:t>(a)</w:t>
        <w:tab/>
      </w:r>
      <w:r>
        <w:rPr>
          <w:b/>
          <w:i/>
        </w:rPr>
        <w:t>Security Interest for "Obligations"</w:t>
      </w:r>
      <w:r>
        <w:rPr/>
        <w:t xml:space="preserve">.  The term "Obligations" as used in this Annex includes the following additional obligations: </w:t>
      </w:r>
    </w:p>
    <w:p>
      <w:pPr>
        <w:pStyle w:val="Normal"/>
        <w:widowControl/>
        <w:rPr/>
      </w:pPr>
      <w:r>
        <w:rPr/>
      </w:r>
    </w:p>
    <w:p>
      <w:pPr>
        <w:pStyle w:val="Normal"/>
        <w:widowControl/>
        <w:ind w:firstLine="720" w:end="0"/>
        <w:rPr/>
      </w:pPr>
      <w:r>
        <w:rPr/>
        <w:t>With respect to Party A:</w:t>
        <w:tab/>
        <w:t>None</w:t>
      </w:r>
    </w:p>
    <w:p>
      <w:pPr>
        <w:pStyle w:val="Normal"/>
        <w:widowControl/>
        <w:ind w:firstLine="720" w:end="0"/>
        <w:rPr/>
      </w:pPr>
      <w:r>
        <w:rPr/>
        <w:t>With respect to Party B:</w:t>
        <w:tab/>
        <w:t>None</w:t>
      </w:r>
    </w:p>
    <w:p>
      <w:pPr>
        <w:pStyle w:val="Normal"/>
        <w:widowControl/>
        <w:rPr/>
      </w:pPr>
      <w:r>
        <w:rPr/>
      </w:r>
    </w:p>
    <w:p>
      <w:pPr>
        <w:pStyle w:val="Normal"/>
        <w:widowControl/>
        <w:rPr/>
      </w:pPr>
      <w:r>
        <w:rPr/>
        <w:t>(b)</w:t>
        <w:tab/>
      </w:r>
      <w:r>
        <w:rPr>
          <w:b/>
          <w:i/>
        </w:rPr>
        <w:t>Credit Support Obligations.</w:t>
      </w:r>
    </w:p>
    <w:p>
      <w:pPr>
        <w:pStyle w:val="Normal"/>
        <w:widowControl/>
        <w:rPr/>
      </w:pPr>
      <w:r>
        <w:rPr/>
      </w:r>
    </w:p>
    <w:p>
      <w:pPr>
        <w:pStyle w:val="Normal"/>
        <w:widowControl/>
        <w:ind w:firstLine="720" w:end="0"/>
        <w:rPr/>
      </w:pPr>
      <w:r>
        <w:rPr/>
        <w:t>(i)</w:t>
        <w:tab/>
      </w:r>
      <w:r>
        <w:rPr>
          <w:b/>
          <w:i/>
        </w:rPr>
        <w:t>Delivery Amount, Return Amount and Credit Support Amount.</w:t>
      </w:r>
    </w:p>
    <w:p>
      <w:pPr>
        <w:pStyle w:val="Normal"/>
        <w:widowControl/>
        <w:rPr/>
      </w:pPr>
      <w:r>
        <w:rPr/>
      </w:r>
    </w:p>
    <w:p>
      <w:pPr>
        <w:pStyle w:val="Normal"/>
        <w:widowControl/>
        <w:ind w:firstLine="1440" w:end="0"/>
        <w:rPr/>
      </w:pPr>
      <w:r>
        <w:rPr/>
        <w:t>(A)</w:t>
        <w:tab/>
      </w:r>
      <w:r>
        <w:rPr>
          <w:b/>
          <w:i/>
        </w:rPr>
        <w:t xml:space="preserve">"Delivery Amount" </w:t>
      </w:r>
      <w:r>
        <w:rPr/>
        <w:t>has the meaning specified in Paragraph 3(a).</w:t>
      </w:r>
    </w:p>
    <w:p>
      <w:pPr>
        <w:pStyle w:val="Normal"/>
        <w:widowControl/>
        <w:tabs>
          <w:tab w:val="clear" w:pos="720"/>
          <w:tab w:val="left" w:pos="-1440" w:leader="none"/>
        </w:tabs>
        <w:ind w:hanging="720" w:start="2160" w:end="0"/>
        <w:rPr/>
      </w:pPr>
      <w:r>
        <w:rPr/>
        <w:t>(B)</w:t>
        <w:tab/>
      </w:r>
      <w:r>
        <w:rPr>
          <w:b/>
          <w:i/>
        </w:rPr>
        <w:t xml:space="preserve">"Return Amount" </w:t>
      </w:r>
      <w:r>
        <w:rPr/>
        <w:t>has the meaning specified in Paragraph 3(b).</w:t>
      </w:r>
    </w:p>
    <w:p>
      <w:pPr>
        <w:pStyle w:val="Normal"/>
        <w:widowControl/>
        <w:tabs>
          <w:tab w:val="clear" w:pos="720"/>
          <w:tab w:val="left" w:pos="-1440" w:leader="none"/>
        </w:tabs>
        <w:ind w:hanging="720" w:start="2160" w:end="0"/>
        <w:rPr/>
      </w:pPr>
      <w:r>
        <w:rPr/>
        <w:t>(C)</w:t>
        <w:tab/>
      </w:r>
      <w:r>
        <w:rPr>
          <w:b/>
          <w:i/>
        </w:rPr>
        <w:t>"Credit Support Amount"</w:t>
      </w:r>
      <w:r>
        <w:rPr/>
        <w:t xml:space="preserve"> has the meaning specified in Paragraph 3(b), except that on any Valuation Date when the rating then assigned to the unsecured and unsubordinated long-term debt or deposit obligations of the Pledgor by Standard and Poor's Ratings Services, a division of The McGraw-Hill Companies, Inc., Moody's Investors Service, Inc., or any other nationally recognized rating organization agreed upon by both parties is Baa2/BBB or lower, the Secured Party’s Exposure for that Valuation Date shall be the amount which would be calculated as specified in the Credit Support Annex multiplied by 1.25x.  </w:t>
      </w:r>
    </w:p>
    <w:p>
      <w:pPr>
        <w:pStyle w:val="Normal"/>
        <w:widowControl/>
        <w:rPr/>
      </w:pPr>
      <w:r>
        <w:rPr/>
      </w:r>
    </w:p>
    <w:p>
      <w:pPr>
        <w:pStyle w:val="Normal"/>
        <w:widowControl/>
        <w:rPr/>
      </w:pPr>
      <w:r>
        <w:rPr/>
      </w:r>
    </w:p>
    <w:p>
      <w:pPr>
        <w:pStyle w:val="Normal"/>
        <w:widowControl/>
        <w:rPr/>
      </w:pPr>
      <w:r>
        <w:rPr/>
      </w:r>
    </w:p>
    <w:p>
      <w:pPr>
        <w:pStyle w:val="Normal"/>
        <w:widowControl/>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rPr/>
      </w:pPr>
      <w:r>
        <w:rPr/>
      </w:r>
    </w:p>
    <w:p>
      <w:pPr>
        <w:pStyle w:val="Normal"/>
        <w:widowControl/>
        <w:tabs>
          <w:tab w:val="clear" w:pos="720"/>
          <w:tab w:val="left" w:pos="-1440" w:leader="none"/>
        </w:tabs>
        <w:ind w:hanging="720" w:start="1440" w:end="0"/>
        <w:rPr/>
      </w:pPr>
      <w:r>
        <w:rPr/>
        <w:t>(ii)</w:t>
        <w:tab/>
      </w:r>
      <w:r>
        <w:rPr>
          <w:b/>
          <w:i/>
        </w:rPr>
        <w:t xml:space="preserve">Eligible Collateral.  </w:t>
      </w:r>
      <w:r>
        <w:rPr/>
        <w:t>The following items will qualify as "Eligible Collateral" for the party specified, provided however that Cash will constitute Eligible Collateral only when received pursuant to paragraph 13 (b) (iii) below:</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r>
      <w:r>
        <w:rPr>
          <w:b/>
        </w:rPr>
        <w:t>Party A</w:t>
      </w:r>
      <w:r>
        <w:rPr/>
        <w:tab/>
      </w:r>
      <w:r>
        <w:rPr>
          <w:b/>
        </w:rPr>
        <w:t>Party B</w:t>
      </w:r>
      <w:r>
        <w:rPr/>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(A)</w:t>
        <w:tab/>
        <w:t>Cash</w:t>
        <w:tab/>
        <w:t>[ ]</w:t>
        <w:tab/>
        <w: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(B)</w:t>
        <w:tab/>
        <w:t>negotiable debt obligations issued</w:t>
        <w:tab/>
        <w:t>[ ]</w:t>
        <w:tab/>
        <w:t>[ ]</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by the U.S. Treasury Department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having an original maturity at issuance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of not more than one year ("Treasury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Bills")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(C)</w:t>
        <w:tab/>
        <w:t>negotiable debt obligations issued by</w:t>
        <w:tab/>
        <w:t>[ ]</w:t>
        <w:tab/>
        <w:t>[ ]</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the U.S. Treasury Department having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an original maturity at issuance of more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than one year but not more than ten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years ("Treasury Notes")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(D)</w:t>
        <w:tab/>
        <w:t>negotiable debt obligations issued by</w:t>
        <w:tab/>
        <w:t>[ ]</w:t>
        <w:tab/>
        <w:t>[ ]</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the U.S. Treasury Department having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an original maturity at issuance of more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than ten years ("Treasury Bonds")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(E)</w:t>
        <w:tab/>
        <w:t xml:space="preserve">such other property as may be agreed </w:t>
        <w:tab/>
        <w:t>[ ]</w:t>
        <w:tab/>
        <w: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by the parties from time to time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The "Valuation Percentage" of each item of Eligible Collateral will be 100%.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Other Eligible Support</w:t>
      </w:r>
      <w:r>
        <w:rPr/>
        <w:t>.  The following items will qualify as</w:t>
      </w:r>
      <w:r>
        <w:rPr>
          <w:i/>
        </w:rPr>
        <w:t xml:space="preserve"> "</w:t>
      </w:r>
      <w:r>
        <w:rPr>
          <w:b/>
          <w:i/>
        </w:rPr>
        <w:t>Other Eligible Support</w:t>
      </w:r>
      <w:r>
        <w:rPr>
          <w:i/>
        </w:rPr>
        <w:t>"</w:t>
      </w:r>
      <w:r>
        <w:rPr/>
        <w:t xml:space="preserve"> for the party specified: one or more irrevocable standby letters of credit, expiring in not less than 15 days, issued by a bank acceptable to the Secured Party under language in a form reasonably acceptable to the Secured Party (each, a "Letter of Credit").  Any cash payment or other distributions of such Letter of Credit shall constitute Eligible Collateral as set forth above.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(iv)</w:t>
        <w:tab/>
      </w:r>
      <w:r>
        <w:rPr>
          <w:b/>
          <w:i/>
        </w:rPr>
        <w:t>Thresholds.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(A)  </w:t>
      </w:r>
      <w:r>
        <w:rPr>
          <w:b/>
          <w:i/>
        </w:rPr>
        <w:t>"Independent Amount"</w:t>
      </w:r>
      <w:r>
        <w:rPr/>
        <w:t xml:space="preserve"> means with respect to Party A:  $ -0-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b/>
          <w:i/>
        </w:rPr>
        <w:t>"Independent Amount"</w:t>
      </w:r>
      <w:r>
        <w:rPr/>
        <w:t xml:space="preserve"> means with respect to Party B:  $ -0-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(B)</w:t>
      </w:r>
      <w:r>
        <w:rPr>
          <w:b/>
          <w:i/>
        </w:rPr>
        <w:t>"Threshold"</w:t>
      </w:r>
      <w:r>
        <w:rPr/>
        <w:t xml:space="preserve"> means with respect to either party the amount determined according to the following table: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tab/>
        <w:t>Threshold</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b/>
        <w:tab/>
      </w:r>
      <w:r>
        <w:rPr>
          <w:u w:val="single"/>
        </w:rPr>
        <w:t>Credit Rating</w:t>
      </w:r>
      <w:r>
        <w:rPr/>
        <w:tab/>
      </w:r>
      <w:r>
        <w:rPr>
          <w:u w:val="single"/>
        </w:rPr>
        <w:t>Amount</w:t>
      </w:r>
      <w:r>
        <w:rPr/>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AAA/Aaa to AA/Aa2</w:t>
        <w:tab/>
        <w:t>$10 million</w:t>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AA-/Aa3</w:t>
        <w:tab/>
        <w:t xml:space="preserve"> $7 million</w:t>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A+/A1 to Baa1/BBB+</w:t>
        <w:tab/>
        <w:t xml:space="preserve">  $5 million</w:t>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BBB/Baa2</w:t>
        <w:tab/>
        <w:t xml:space="preserve">  $2.5 million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Baa3/BBB- or below</w:t>
        <w:tab/>
        <w:t>$0</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 xml:space="preserve">where the "Credit Rating" in respect of a party on any date of determination means the lowest of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 xml:space="preserve">(i) the rating then assigned to the unsecured and unsubordinated long-term debt or deposit obligations of such party by Standard and Poor's Ratings Services, a division of The McGraw-Hill Companies, Inc., Moody's Investors Service, Inc., or any other nationally recognized rating organization agreed upon by both parties,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 xml:space="preserve">(ii) the rating then assigned to the unsecured and unsubordinated long-term debt or deposit obligations of any other Rated Party (as such term is defined in the Schedule) of such party by Standard and Poor's Ratings Services, a division of The McGraw-Hill Companies, Inc., Moody's Investors Service, Inc., or any such other nationally recognized rating organization, and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(iii) any other rating, of a nature referred to under Additional Termination Event in the Schedule, of or in respect of such party or any Credit Support Provider or any Rated Party of such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For purposes of the foregoing sentence, (i) if a rating organization assigns more than one rating of a nature referred to in the preceding sentence in respect of any entity, the lowest of such ratings will apply, and (ii) if more than one rating organization assigns a rating of a nature referred to in the preceding sentence in respect of any entity, the lowest of such ratings will apply.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The Threshold and Minimum Transfer Amount with respect to a party shall be zero ($0), at any time when (i) an Event of Default, Potential Event of Default, or Specified Condition has occurred and is continuing with respect to that party or (ii) an Early Termination Date for which any unsatisfied payment obligations exist has occurred or been designated as a result of an Event of Default or Specified Condition with respect to that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 xml:space="preserve">Whenever the rating assigned to a party is Baa2/BBB or below the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(C)</w:t>
      </w:r>
      <w:r>
        <w:rPr>
          <w:i/>
        </w:rPr>
        <w:t xml:space="preserve">  </w:t>
      </w:r>
      <w:r>
        <w:rPr>
          <w:b/>
          <w:i/>
        </w:rPr>
        <w:t>"Minimum Transfer Amount"</w:t>
      </w:r>
      <w:r>
        <w:rPr/>
        <w:t xml:space="preserve"> means with respect to Party A:  $ 1,000,000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b/>
          <w:i/>
        </w:rPr>
        <w:t>" Minimum Transfer Amount "</w:t>
      </w:r>
      <w:r>
        <w:rPr/>
        <w:t xml:space="preserve"> means with respect to Party B:  $ 1,000,000.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(D)</w:t>
        <w:tab/>
        <w:t xml:space="preserve">  </w:t>
      </w:r>
      <w:r>
        <w:rPr>
          <w:b/>
          <w:i/>
        </w:rPr>
        <w:t>Rounding.</w:t>
      </w:r>
      <w:r>
        <w:rPr/>
        <w:t xml:space="preserve">  The Delivery Amount and the Return Amount will be rounded up and down to the nearest integral amount of $10,000, respectively.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(c)</w:t>
        <w:tab/>
      </w:r>
      <w:r>
        <w:rPr>
          <w:b/>
          <w:i/>
        </w:rPr>
        <w:t>Valuation and Timing</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"Valuation Agent"</w:t>
      </w:r>
      <w:r>
        <w:rPr/>
        <w:t xml:space="preserve"> shall mean Party B; provided, however, that at any time when (i) an Event of Default, Potential Event of Default, or Specified Condition has occurred and is continuing with respect to Party B or (ii) an Early Termination Date for which any unsatisfied payment obligations exist has occurred or been designated as a result of an Event of Default or Specified Condition with respect to Party B, "Valuation Agent" shall mean Party A.</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"Valuation Date"</w:t>
      </w:r>
      <w:r>
        <w:rPr/>
        <w:t xml:space="preserve"> means any Local Business Day.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 xml:space="preserve">"Valuation Time" </w:t>
      </w:r>
      <w:r>
        <w:rPr/>
        <w:t xml:space="preserve">means the close of business in the city of the Valuation Agent on the Valuation Date or date of calculation, as applicable;  </w:t>
      </w:r>
      <w:r>
        <w:rPr>
          <w:i/>
        </w:rPr>
        <w:t>provided</w:t>
      </w:r>
      <w:r>
        <w:rPr/>
        <w:t xml:space="preserve"> that the calculations of Value and Exposure will be made as of approximately the same time on the same date.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(iv)</w:t>
        <w:tab/>
      </w:r>
      <w:r>
        <w:rPr>
          <w:b/>
          <w:i/>
        </w:rPr>
        <w:t xml:space="preserve">"Notification Time" </w:t>
      </w:r>
      <w:r>
        <w:rPr/>
        <w:t>means 1:00 p.m. New York time.  Nothing in this paragraph (iv) shall derogate from the provisions of paragraph (e), below regarding the time of notice in respect of substitutions.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(d)</w:t>
        <w:tab/>
      </w:r>
      <w:r>
        <w:rPr>
          <w:b/>
          <w:i/>
        </w:rPr>
        <w:t>Conditions Precedent</w:t>
      </w:r>
      <w:r>
        <w:rPr/>
        <w:t>.  The following Termination Event(s) will be a "Specified Condition" for the party specified (that party being the Affected Party if the Termination Event occurs with respect to that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tab/>
        <w:tab/>
        <w:tab/>
        <w:tab/>
        <w:tab/>
        <w:tab/>
        <w:t>Party A</w:t>
        <w:tab/>
        <w:tab/>
        <w:t>Party B</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Illegality</w:t>
        <w:tab/>
        <w:t xml:space="preserve">   [  ]</w:t>
        <w:tab/>
        <w:t xml:space="preserve">  </w:t>
        <w:tab/>
        <w:t xml:space="preserve">   [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Tax Event</w:t>
        <w:tab/>
        <w:t xml:space="preserve">   [  ]</w:t>
        <w:tab/>
        <w:tab/>
        <w:t xml:space="preserve">   [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Tax Event Upon Merger</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Credit Event Upon Merger</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Additional Termination Event:</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(e)</w:t>
        <w:tab/>
      </w:r>
      <w:r>
        <w:rPr>
          <w:b/>
          <w:i/>
        </w:rPr>
        <w:t>Substitution.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"Substitution Date"</w:t>
      </w:r>
      <w:r>
        <w:rPr/>
        <w:t xml:space="preserve"> means the Local Business Day following the Local Business Day on which notice contemplated by Section 4(d)(i) of this Annex is received by the Secured Party, if (i) such notice is received by the Secured Party not later than 10 a.m. and (ii) the Substitute Credit Support is received prior to such following Local Business Day, or sufficiently early on such following Local Business Day to permit the Secured Party reasonably to confirm such receipt and to effect the requisite Transfer; if the Secured Party receives Substitute Credit Support on such following Local Business Day or on any subsequent Local Business Day at a time not sufficiently early to permit the Secured Party reasonably to confirm such receipt and to effect the requisite Transfer on such day, then the Secured Party will be obligated to make such Transfer on the next Local Business Day after it receives the Substitute Credit Support.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 xml:space="preserve">Consent.  </w:t>
      </w:r>
      <w:r>
        <w:rPr/>
        <w:t>No consent to substitutions pursuant to Paragraph 4(d)(i) shall be required at any time except when there has occurred and is continuing an Event of Default, a Potential Event of Default, or a Specified Condition with respect to the Pledgor or an Early Termination Date for which any unsatisfied payment obligations exist.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keepNext w:val="true"/>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(f)</w:t>
        <w:tab/>
      </w:r>
      <w:r>
        <w:rPr>
          <w:b/>
          <w:i/>
        </w:rPr>
        <w:t>Dispute Resolution.</w:t>
      </w:r>
    </w:p>
    <w:p>
      <w:pPr>
        <w:pStyle w:val="Normal"/>
        <w:keepNext w:val="true"/>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"Resolution Time"</w:t>
      </w:r>
      <w:r>
        <w:rPr/>
        <w:t xml:space="preserve"> means 1:00 p.m., New York time, on the Local Business Day following the date on which a party gives notice to the Valuation Agent of any dispute, as contemplated by Paragraph 5.</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 xml:space="preserve">Value.  </w:t>
      </w:r>
      <w:r>
        <w:rPr/>
        <w:t>For the purpose of Paragraphs 5(i)(C) and 5(ii), the Value of Posted Credit Support will be calculated as follows:  Disputes over Value will be resolved by the Valuation Agent seeking three or more mid-market quotes as of the relevant Valuation Date or date of Transfer from Reference Market-makers acceptable to both parties.  The Value will be the arithmetic mean of the quotes received by the Valuation Agent.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r>
      <w:r>
        <w:rPr>
          <w:b/>
          <w:i/>
        </w:rPr>
        <w:tab/>
        <w:t xml:space="preserve">Alternative.  </w:t>
      </w:r>
      <w:r>
        <w:rPr/>
        <w:t>(A)  The provisions of Paragraph 5(i), as modified below, will apply.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(B)  Paragraph 5(i)(B) is amended by inserting after the words "Reference Market-makers" the words "agreed to by the parties,".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(C)  Paragraph 5(i)(B) is amended by deleting all of the text following the last comma thereof and inserting in its place the following:  "then each party will designate an independent third party which it believes in good faith to be competent in such matters to make the calculation in question based on such information as such third party considers necessary or appropriate under the circumstances, and the arithmetic mean between the calculations of such third parties shall be used for the Transaction".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(g)</w:t>
        <w:tab/>
      </w:r>
      <w:r>
        <w:rPr>
          <w:b/>
          <w:i/>
        </w:rPr>
        <w:t>Holding and Using Posted Collateral</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Eligibility to Hold Posted Collateral; Custodians.</w:t>
      </w:r>
      <w:r>
        <w:rPr/>
        <w:t xml:space="preserve">  Each of Party A and Party B, and its Custodian, will be entitled to hold Posted Collateral pursuant to Paragraph 6(b), provided that (i) such party is not a Defaulting Party, (ii) all Posted Collateral is held only in the United States (unless the parties agree otherwise in writing), and (iii) in the case of any such Custodian, the other party shall not reasonably have objected to the use of such Custodian and have notified the party using such Custodian of such objection.   The fact that a party shall not so object or so have notified the other of such objection shall not in any way imply any approval of such Custodian by such party or limit any liability of the party using such Custodian in respect of such Custodian or any of its actions or failures to act. Initially, the Custodian for Party A is Bank of New York, and the Custodian for Party B is _____________.</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t>Paragraph 6(b)(i) is amended by inserting after the first sentence thereof the following sentence:  "The appointment of a Custodian by the Secured Party shall not relieve the Secured Party of any of its obligations hereunder, and the Secured Party shall bear all risks associated with the performance or nonperformance by its Custodian of any of the Secured Party's obligations hereunder."</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Use of Posted Collateral.</w:t>
      </w:r>
      <w:r>
        <w:rPr/>
        <w:t xml:space="preserve">  The provisions of Paragraph 6(c) will apply to both parties.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(h)</w:t>
        <w:tab/>
      </w:r>
      <w:r>
        <w:rPr>
          <w:b/>
          <w:i/>
        </w:rPr>
        <w:t>Distributions and Interest Amount.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w:t>
        <w:tab/>
      </w:r>
      <w:r>
        <w:rPr>
          <w:b/>
          <w:i/>
        </w:rPr>
        <w:t xml:space="preserve">Interest Rate. </w:t>
      </w:r>
      <w:r>
        <w:rPr/>
        <w:t>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Distributions.</w:t>
      </w:r>
      <w:r>
        <w:rPr/>
        <w:t xml:space="preserve">  Paragraph 6(d) is amended to read in its entirety as follows:  "Subject to Paragraph 4(a), if any Distributions are paid or distributed with respect to any Posted Collateral (regardless of whether such Distributions are actually received by the Secured Party), the Secured Party shall, notwithstanding any other provision of this Agreement (including the last sentence of Section 6(a)), pay the amount of any and all such Distributions to the Pledgor on the day of such payment or distribution, to the extent that a Delivery Amount would not be created or increased by the Transfer, as calculated by the Valuation Agent (and the date of the calculation will be deemed to be a Valuation Date for this purpose)."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Transfer of Interest Amount</w:t>
      </w:r>
      <w:r>
        <w:rPr/>
        <w:t>.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(iv)</w:t>
        <w:tab/>
      </w:r>
      <w:r>
        <w:rPr>
          <w:b/>
          <w:i/>
        </w:rPr>
        <w:t>Alternative to Interest Amount</w:t>
      </w:r>
      <w:r>
        <w:rPr/>
        <w:t>.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360" w:start="360" w:end="0"/>
        <w:rPr/>
      </w:pPr>
      <w:r>
        <w:rPr/>
        <w:t>(i)</w:t>
        <w:tab/>
      </w:r>
      <w:r>
        <w:rPr>
          <w:b/>
          <w:i/>
        </w:rPr>
        <w:t>Events of Default.</w:t>
      </w:r>
      <w:r>
        <w:rPr/>
        <w:t xml:space="preserve">  Paragraph 7(iii) is amended by deleting the number "30" and inserting in its place the number "5".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numPr>
          <w:ilvl w:val="0"/>
          <w:numId w:val="1"/>
        </w:numPr>
        <w:tabs>
          <w:tab w:val="clear" w:pos="720"/>
          <w:tab w:val="left" w:pos="-1080" w:leader="none"/>
          <w:tab w:val="left" w:pos="-720" w:leader="none"/>
          <w:tab w:val="left" w:pos="0" w:leader="none"/>
          <w:tab w:val="left" w:pos="900" w:leader="none"/>
          <w:tab w:val="center" w:pos="5400" w:leader="none"/>
          <w:tab w:val="center" w:pos="6480" w:leader="none"/>
          <w:tab w:val="center" w:pos="7920" w:leader="none"/>
        </w:tabs>
        <w:rPr/>
      </w:pPr>
      <w:r>
        <w:rPr>
          <w:b/>
          <w:i/>
        </w:rPr>
        <w:t>Definition of Transfer.</w:t>
      </w:r>
      <w:r>
        <w:rPr/>
        <w:t xml:space="preserve">  Clause (iii) of the definition of "Transfer" in Paragraph 12 is amended by inserting "(A)" after the initial comma and inserting before the semicolon the following text: ", (B) the immediate transfer of such securities by book-entry by the appropriate Federal Reserve Bank (or such other entity on whose books the transfer of such securities may be effected) to the receiving party or its book-entry custodian and (C) delivery of evidence acceptable to the receiving party of such transfer to the receiving party; and".</w:t>
      </w:r>
    </w:p>
    <w:p>
      <w:pPr>
        <w:pStyle w:val="Normal"/>
        <w:widowControl/>
        <w:tabs>
          <w:tab w:val="clear" w:pos="720"/>
          <w:tab w:val="left" w:pos="-1080" w:leader="none"/>
          <w:tab w:val="left" w:pos="-720" w:leader="none"/>
          <w:tab w:val="left" w:pos="0" w:leader="none"/>
          <w:tab w:val="left" w:pos="900" w:leader="none"/>
          <w:tab w:val="center" w:pos="5400" w:leader="none"/>
          <w:tab w:val="center" w:pos="6480" w:leader="none"/>
          <w:tab w:val="center" w:pos="7920" w:leader="none"/>
        </w:tabs>
        <w:rPr>
          <w:b/>
          <w:i/>
          <w:i/>
        </w:rPr>
      </w:pPr>
      <w:r>
        <w:rPr>
          <w:b/>
          <w:i/>
        </w:rPr>
      </w:r>
    </w:p>
    <w:p>
      <w:pPr>
        <w:pStyle w:val="Normal"/>
        <w:widowControl/>
        <w:tabs>
          <w:tab w:val="clear" w:pos="720"/>
          <w:tab w:val="left" w:pos="-1080" w:leader="none"/>
          <w:tab w:val="left" w:pos="-720" w:leader="none"/>
          <w:tab w:val="left" w:pos="0" w:leader="none"/>
          <w:tab w:val="left" w:pos="900" w:leader="none"/>
          <w:tab w:val="center" w:pos="5400" w:leader="none"/>
          <w:tab w:val="center" w:pos="6480" w:leader="none"/>
          <w:tab w:val="center" w:pos="7920" w:leader="none"/>
        </w:tabs>
        <w:rPr>
          <w:b/>
          <w:i/>
          <w:i/>
        </w:rPr>
      </w:pPr>
      <w:r>
        <w:rPr>
          <w:b/>
          <w:i/>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t>(k)</w:t>
        <w:tab/>
      </w:r>
      <w:r>
        <w:rPr>
          <w:b/>
          <w:i/>
        </w:rPr>
        <w:t>Other Eligible Support and Other Posted Support.</w:t>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pPr>
      <w:r>
        <w:rPr/>
        <w:t>(i)</w:t>
        <w:tab/>
      </w:r>
      <w:r>
        <w:rPr>
          <w:b/>
          <w:i/>
        </w:rPr>
        <w:t>"Value"</w:t>
      </w:r>
      <w:r>
        <w:rPr/>
        <w:t xml:space="preserve"> with respect to Other Eligible Support and Other Posted Support means: With respect to any Letter of Credit as of any Valuation Date, the amount then available to be unconditionally drawn upon by the Secured Party; provided that the Value of any Letter of Credit scheduled to expire in 15 days or less after such Valuation Date shall be deemed to be zero.</w:t>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pPr>
      <w:r>
        <w:rPr/>
        <w:t>(ii)</w:t>
        <w:tab/>
      </w:r>
      <w:r>
        <w:rPr>
          <w:b/>
          <w:i/>
        </w:rPr>
        <w:t xml:space="preserve">"Transfer" </w:t>
      </w:r>
      <w:r>
        <w:rPr/>
        <w:t>with respect to Other Eligible Support and Other Posted Support means: With respect to any Letter of Credit, the creation of an unconditional right of the Secured Party for whose benefit the Letter of Credit is established to draw upon that Letter of Credit.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(l)</w:t>
        <w:tab/>
      </w:r>
      <w:r>
        <w:rPr>
          <w:b/>
          <w:i/>
        </w:rPr>
        <w:t>Additional Representation(s).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  Party B represents, warrants, and agrees (which representations, warrantees, and agreements will be deemed to be repeated as of each date on which it, as the Pledgor, Transfers Eligible Collateral) that a copy of this Agreement (including this Annex) will be maintained by it in its official books and records.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(m)</w:t>
        <w:tab/>
      </w:r>
      <w:r>
        <w:rPr>
          <w:b/>
          <w:i/>
        </w:rPr>
        <w:t>Other Eligible Support and Other Posted Support.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"Value"</w:t>
      </w:r>
      <w:r>
        <w:rPr/>
        <w:t xml:space="preserve"> with respect to Other Eligible Support and Other Posted Support means: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 xml:space="preserve">"Transfer" </w:t>
      </w:r>
      <w:r>
        <w:rPr/>
        <w:t>with respect to Other Eligible Support and Other Posted Support means: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pPr>
      <w:r>
        <w:rPr/>
        <w:t>(n)</w:t>
        <w:tab/>
      </w:r>
      <w:r>
        <w:rPr>
          <w:b/>
          <w:i/>
        </w:rPr>
        <w:t>Demands and Notices.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All demands, specifications, and notices under this Annex will be made pursuant to the Notices Section of this Agreement, unless otherwise specified here: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040" w:start="5400" w:end="0"/>
        <w:rPr/>
      </w:pPr>
      <w:r>
        <w:rPr/>
        <w:t>Party A:  Not applicable.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040" w:start="5400" w:end="0"/>
        <w:rPr/>
      </w:pPr>
      <w:r>
        <w:rPr/>
        <w:t>Party B:  Not applicable.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(o)</w:t>
        <w:tab/>
      </w:r>
      <w:r>
        <w:rPr>
          <w:b/>
          <w:i/>
        </w:rPr>
        <w:t>Address for Transfers</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Party A:   As notified by Party A to Party B from time to time.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Party B:   As notified by Party B to Party A from time to time.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t>[The remainder of this page has intentionally been left blank.]</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r>
        <w:br w:type="page"/>
      </w:r>
    </w:p>
    <w:p>
      <w:pPr>
        <w:pStyle w:val="Normal"/>
        <w:widowControl/>
        <w:numPr>
          <w:ilvl w:val="0"/>
          <w:numId w:val="0"/>
        </w:numPr>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IN WITNESS WHEREOF, the parties have executed this Addendum to the Credit Support Annex as of the date first above written.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4320" w:leader="none"/>
          <w:tab w:val="left" w:pos="4680" w:leader="none"/>
        </w:tabs>
        <w:ind w:firstLine="4320" w:end="0"/>
        <w:rPr/>
      </w:pPr>
      <w:r>
        <w:rPr/>
        <w:t>PRESIDENT AND FELLOWS OF</w:t>
      </w:r>
    </w:p>
    <w:p>
      <w:pPr>
        <w:pStyle w:val="Normal"/>
        <w:widowControl/>
        <w:tabs>
          <w:tab w:val="clear" w:pos="720"/>
          <w:tab w:val="left" w:pos="4320" w:leader="none"/>
          <w:tab w:val="left" w:pos="4680" w:leader="none"/>
        </w:tabs>
        <w:ind w:firstLine="4320" w:end="0"/>
        <w:rPr/>
      </w:pPr>
      <w:r>
        <w:rPr/>
        <w:t>HARVARD COLLEGE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Harvard Management Company, Inc.</w:t>
      </w:r>
    </w:p>
    <w:p>
      <w:pPr>
        <w:pStyle w:val="Normal"/>
        <w:widowControl/>
        <w:tabs>
          <w:tab w:val="clear" w:pos="720"/>
          <w:tab w:val="left" w:pos="4320" w:leader="none"/>
          <w:tab w:val="left" w:pos="4680" w:leader="none"/>
        </w:tabs>
        <w:ind w:firstLine="4320" w:end="0"/>
        <w:rPr/>
      </w:pPr>
      <w:r>
        <w:rPr/>
        <w:t>pursuant to delegated authority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rPr/>
      </w:pPr>
      <w:r>
        <w:rPr/>
        <w:tab/>
        <w:tab/>
        <w:t>Authorized Signatory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rPr/>
      </w:pPr>
      <w:r>
        <w:rPr/>
        <w:tab/>
        <w:tab/>
        <w:t>Authorized Signatory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ENRON NORTH AMERICA CORPORATION</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ind w:firstLine="4320" w:end="0"/>
        <w:rPr/>
      </w:pPr>
      <w:r>
        <w:rPr/>
        <w:tab/>
        <w:t>Name:</w:t>
      </w:r>
    </w:p>
    <w:p>
      <w:pPr>
        <w:pStyle w:val="Normal"/>
        <w:widowControl/>
        <w:tabs>
          <w:tab w:val="clear" w:pos="720"/>
          <w:tab w:val="left" w:pos="4320" w:leader="none"/>
          <w:tab w:val="left" w:pos="4680" w:leader="none"/>
        </w:tabs>
        <w:ind w:firstLine="4320" w:end="0"/>
        <w:rPr/>
      </w:pPr>
      <w:r>
        <w:rPr/>
        <w:tab/>
        <w:t>Title: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4320" w:leader="none"/>
          <w:tab w:val="left" w:pos="4680" w:leader="none"/>
        </w:tabs>
        <w:rPr/>
      </w:pPr>
      <w:r>
        <w:rPr/>
      </w:r>
    </w:p>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fldChar w:fldCharType="begin"/>
    </w:r>
    <w:r>
      <w:rPr>
        <w:sz w:val="14"/>
      </w:rPr>
      <w:instrText xml:space="preserve"> FILENAME </w:instrText>
    </w:r>
    <w:r>
      <w:rPr>
        <w:sz w:val="14"/>
      </w:rPr>
      <w:fldChar w:fldCharType="separate"/>
    </w:r>
    <w:r>
      <w:rPr>
        <w:sz w:val="14"/>
      </w:rPr>
      <w:t>Enron_Addendum_to_CSA.DOC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rPr/>
    </w:pPr>
    <w:r>
      <w:rPr/>
      <w:tab/>
      <w:t>-</w:t>
    </w:r>
    <w:r>
      <w:rPr/>
      <w:fldChar w:fldCharType="begin"/>
    </w:r>
    <w:r>
      <w:rPr/>
      <w:instrText xml:space="preserve"> PAGE </w:instrText>
    </w:r>
    <w:r>
      <w:rPr/>
      <w:fldChar w:fldCharType="separate"/>
    </w:r>
    <w:r>
      <w:rPr/>
      <w:t>10</w:t>
    </w:r>
    <w:r>
      <w:rPr/>
      <w:fldChar w:fldCharType="end"/>
    </w:r>
    <w:r>
      <w:rPr/>
      <w:t>-</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rPr>
                              <w:sz w:val="14"/>
                            </w:rPr>
                          </w:pPr>
                          <w:r>
                            <w:rPr>
                              <w:sz w:val="14"/>
                            </w:rPr>
                            <w:fldChar w:fldCharType="begin"/>
                          </w:r>
                          <w:r>
                            <w:rPr>
                              <w:sz w:val="14"/>
                            </w:rPr>
                            <w:instrText xml:space="preserve"> FILENAME </w:instrText>
                          </w:r>
                          <w:r>
                            <w:rPr>
                              <w:sz w:val="14"/>
                            </w:rPr>
                            <w:fldChar w:fldCharType="separate"/>
                          </w:r>
                          <w:r>
                            <w:rPr>
                              <w:sz w:val="14"/>
                            </w:rPr>
                            <w:t>Enron_Addendum_to_CSA.DOC</w:t>
                          </w:r>
                          <w:r>
                            <w:rPr>
                              <w:sz w:val="14"/>
                            </w:rPr>
                            <w:fldChar w:fldCharType="end"/>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4"/>
                      </w:rPr>
                    </w:pPr>
                    <w:r>
                      <w:rPr>
                        <w:sz w:val="14"/>
                      </w:rPr>
                      <w:fldChar w:fldCharType="begin"/>
                    </w:r>
                    <w:r>
                      <w:rPr>
                        <w:sz w:val="14"/>
                      </w:rPr>
                      <w:instrText xml:space="preserve"> FILENAME </w:instrText>
                    </w:r>
                    <w:r>
                      <w:rPr>
                        <w:sz w:val="14"/>
                      </w:rPr>
                      <w:fldChar w:fldCharType="separate"/>
                    </w:r>
                    <w:r>
                      <w:rPr>
                        <w:sz w:val="14"/>
                      </w:rPr>
                      <w:t>Enron_Addendum_to_CSA.DOC</w:t>
                    </w:r>
                    <w:r>
                      <w:rPr>
                        <w:sz w:val="1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lowerLetter"/>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2000-06-06T00:23:00Z</dcterms:created>
  <dc:creator>Kim Noble</dc:creator>
  <dc:description/>
  <dc:language>en-CA</dc:language>
  <cp:lastModifiedBy>Ropes &amp; Gray</cp:lastModifiedBy>
  <cp:lastPrinted>2000-06-01T11:38:00Z</cp:lastPrinted>
  <dcterms:modified xsi:type="dcterms:W3CDTF">2000-06-06T00:23:00Z</dcterms:modified>
  <cp:revision>2</cp:revision>
  <dc:subject/>
  <dc:title>ADDENDUM</dc:title>
</cp:coreProperties>
</file>