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spacing w:val="-2"/>
          <w:sz w:val="22"/>
        </w:rPr>
      </w:pPr>
      <w:r>
        <w:rPr>
          <w:b/>
          <w:spacing w:val="-2"/>
          <w:sz w:val="22"/>
        </w:rPr>
        <w:t>ENRON CORP.</w:t>
      </w:r>
    </w:p>
    <w:p>
      <w:pPr>
        <w:pStyle w:val="Normal"/>
        <w:suppressAutoHyphens w:val="true"/>
        <w:jc w:val="center"/>
        <w:rPr>
          <w:spacing w:val="-2"/>
          <w:sz w:val="22"/>
        </w:rPr>
      </w:pPr>
      <w:r>
        <w:rPr>
          <w:spacing w:val="-2"/>
          <w:sz w:val="22"/>
        </w:rPr>
      </w:r>
    </w:p>
    <w:p>
      <w:pPr>
        <w:pStyle w:val="Normal"/>
        <w:suppressAutoHyphens w:val="true"/>
        <w:jc w:val="center"/>
        <w:rPr>
          <w:spacing w:val="-2"/>
          <w:sz w:val="22"/>
        </w:rPr>
      </w:pPr>
      <w:r>
        <w:rPr>
          <w:b/>
          <w:spacing w:val="-2"/>
          <w:sz w:val="22"/>
          <w:u w:val="single"/>
        </w:rPr>
        <w:t>Amended and Restated Guarantee Agreement</w:t>
      </w:r>
    </w:p>
    <w:p>
      <w:pPr>
        <w:pStyle w:val="Normal"/>
        <w:suppressAutoHyphens w:val="true"/>
        <w:rPr>
          <w:spacing w:val="-2"/>
          <w:sz w:val="22"/>
        </w:rPr>
      </w:pPr>
      <w:r>
        <w:rPr>
          <w:spacing w:val="-2"/>
          <w:sz w:val="22"/>
        </w:rPr>
      </w:r>
    </w:p>
    <w:p>
      <w:pPr>
        <w:pStyle w:val="Normal"/>
        <w:suppressAutoHyphens w:val="true"/>
        <w:rPr>
          <w:spacing w:val="-2"/>
          <w:sz w:val="22"/>
        </w:rPr>
      </w:pPr>
      <w:r>
        <w:rPr>
          <w:spacing w:val="-2"/>
          <w:sz w:val="22"/>
        </w:rPr>
      </w:r>
    </w:p>
    <w:p>
      <w:pPr>
        <w:pStyle w:val="Justified"/>
        <w:rPr/>
      </w:pPr>
      <w:r>
        <w:rPr/>
        <w:tab/>
        <w:t>This Amended and Restated Guarantee Agreement (this "Guarantee"), dated effective as of June 29, 2001, is made and entered into by Enron Corp., an Oregon corporation ("Guarantor").</w:t>
      </w:r>
    </w:p>
    <w:p>
      <w:pPr>
        <w:pStyle w:val="Normal"/>
        <w:suppressAutoHyphens w:val="true"/>
        <w:spacing w:before="240" w:after="240"/>
        <w:jc w:val="center"/>
        <w:rPr>
          <w:spacing w:val="-2"/>
          <w:sz w:val="22"/>
        </w:rPr>
      </w:pPr>
      <w:r>
        <w:rPr>
          <w:b/>
          <w:spacing w:val="-2"/>
          <w:sz w:val="22"/>
        </w:rPr>
        <w:t>W I T N E S S E T H:</w:t>
      </w:r>
    </w:p>
    <w:p>
      <w:pPr>
        <w:pStyle w:val="Justified"/>
        <w:ind w:firstLine="720" w:end="0"/>
        <w:rPr>
          <w:spacing w:val="-2"/>
        </w:rPr>
      </w:pPr>
      <w:r>
        <w:rPr>
          <w:spacing w:val="-2"/>
        </w:rPr>
        <w:t xml:space="preserve">WHEREAS, various subsidiaries of Guarantor, including without limitation, </w:t>
      </w:r>
      <w:r>
        <w:rPr/>
        <w:t>Enron North America Corp. ("Company"), have entered or will enter into (i) one or more agreements (including ISDA Master Agreements) for swap, option or other financially settled derivative transactions, (ii) one or more agreements for the purchase and sale of natural gas, as well as (iii) one or more agreements for the purchase and sale of coal and other carbon products, clean fuel products, SO2 emission allowances, and NOx emission allowances (hereafter referred to collectively as the "Agreements")</w:t>
      </w:r>
      <w:r>
        <w:rPr>
          <w:spacing w:val="-2"/>
        </w:rPr>
        <w:t xml:space="preserve">; </w:t>
      </w:r>
      <w:r>
        <w:rPr/>
        <w:t>with NRG Power Marketing Inc. ("Counterparty”).  Effective as of June 29, 2001, the defined term “Company” hereunder specifically excludes Enron Power Marketing, Inc., and the term “Agreement” hereunder specifically excludes agreements for the purchase and sale of electric energy, capacity and/or related services and products.</w:t>
      </w:r>
    </w:p>
    <w:p>
      <w:pPr>
        <w:pStyle w:val="Justified"/>
        <w:ind w:firstLine="720" w:end="0"/>
        <w:rPr>
          <w:spacing w:val="-2"/>
        </w:rPr>
      </w:pPr>
      <w:r>
        <w:rPr>
          <w:spacing w:val="-2"/>
        </w:rPr>
        <w:t>WHEREAS, Guarantor will directly or indirectly benefit from the Agreements.</w:t>
      </w:r>
    </w:p>
    <w:p>
      <w:pPr>
        <w:pStyle w:val="Justified"/>
        <w:ind w:firstLine="720" w:end="0"/>
        <w:rPr>
          <w:spacing w:val="-2"/>
        </w:rPr>
      </w:pPr>
      <w:r>
        <w:rPr>
          <w:spacing w:val="-2"/>
        </w:rPr>
        <w:t>NOW THEREFORE, in consideration of Counterparty entering into the Agreements, Guarantor hereby covenants and agrees as follows:</w:t>
      </w:r>
    </w:p>
    <w:p>
      <w:pPr>
        <w:pStyle w:val="Justified"/>
        <w:ind w:firstLine="720" w:end="0"/>
        <w:rPr/>
      </w:pPr>
      <w:r>
        <w:rPr>
          <w:spacing w:val="-2"/>
        </w:rPr>
        <w:t>1.</w:t>
        <w:tab/>
      </w:r>
      <w:r>
        <w:rPr>
          <w:spacing w:val="-2"/>
          <w:u w:val="single"/>
        </w:rPr>
        <w:t>GUARANTY</w:t>
      </w:r>
      <w:r>
        <w:rPr>
          <w:spacing w:val="-2"/>
        </w:rPr>
        <w:t>.  Subject to the provisions hereof, Guarantor hereby irrevocably and unconditionally guarantees the timely payment when due of all present and future obligations of all kinds of the Company to the Counterparty, absolute or contingent, joint or several (the "Obligations") to Counterparty in accordance with the Agreement.  The term “Company” includes any and all subsidiaries  of Guarantor that enter into any Agreements with Counterparty.  To the extent that Company shall fail to pay any Obligations when due, Guarantor shall promptly pay to Counterparty the amount due.  This Guarantee shall constitute a guarantee of payment and not of collection or performance.  The Guarantor’s obligations hereunder with respect to any Obligation shall not be affected by the existence, validity, enforceability, perfection, or extent of any collateral for such Obligations.  The Guarantor’s obligations hereunder shall be subject to all the contractual protections, limitations, waivers, exclusions and rights which the Company has under the Agreement which comprises the Obligations.  The liability of Guarantor under the Guarantee shall be subject to the following:</w:t>
      </w:r>
    </w:p>
    <w:p>
      <w:pPr>
        <w:pStyle w:val="Justified"/>
        <w:ind w:firstLine="720" w:end="0"/>
        <w:rPr>
          <w:spacing w:val="-2"/>
        </w:rPr>
      </w:pPr>
      <w:r>
        <w:rPr>
          <w:spacing w:val="-2"/>
        </w:rPr>
        <w:t>(a)</w:t>
        <w:tab/>
        <w:t>Guarantor's liability hereunder shall be and is specifically limited to payments expressly required to be made in accordance with the Agreements (even if such payments are deemed to be damages) and, except to the extent specifically provided in the Agreements, in no event shall Guarantor be subject hereunder to consequential, exemplary, equitable, loss of profits, punitive, tort, or any other damages, costs, or attorney's fees.</w:t>
      </w:r>
    </w:p>
    <w:p>
      <w:pPr>
        <w:pStyle w:val="Justified"/>
        <w:ind w:firstLine="720" w:end="0"/>
        <w:rPr>
          <w:spacing w:val="-2"/>
        </w:rPr>
      </w:pPr>
      <w:r>
        <w:rPr>
          <w:spacing w:val="-2"/>
        </w:rPr>
        <w:t>(b)</w:t>
        <w:tab/>
        <w:t>The aggregate amount covered by this Guarantee shall not exceed Fifteen Million U.S. Dollars ($15,000,000).</w:t>
      </w:r>
    </w:p>
    <w:p>
      <w:pPr>
        <w:pStyle w:val="Justified"/>
        <w:ind w:firstLine="720" w:end="0"/>
        <w:rPr/>
      </w:pPr>
      <w:r>
        <w:rPr>
          <w:spacing w:val="-2"/>
        </w:rPr>
        <w:t>2.</w:t>
        <w:tab/>
      </w:r>
      <w:r>
        <w:rPr>
          <w:spacing w:val="-2"/>
          <w:u w:val="single"/>
        </w:rPr>
        <w:t>DEMANDS AND NOTICE</w:t>
      </w:r>
      <w:r>
        <w:rPr>
          <w:spacing w:val="-2"/>
        </w:rPr>
        <w:t>.  If Company fails or refuses to pay any Obligations, Counterparty shall notify Guarantor in writing of the manner in which and amount Company has failed to pay, an explanation of why such payment is due, and demand that payment be made by  Guarantor under this Guarantee (such written notice referred to as “Payment Demand”).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Justified"/>
        <w:ind w:firstLine="720" w:end="0"/>
        <w:rPr/>
      </w:pPr>
      <w:r>
        <w:rPr>
          <w:spacing w:val="-2"/>
        </w:rPr>
        <w:t>3.</w:t>
        <w:tab/>
      </w:r>
      <w:r>
        <w:rPr>
          <w:spacing w:val="-2"/>
          <w:u w:val="single"/>
        </w:rPr>
        <w:t>REPRESENTATIONS AND WARRANTIES</w:t>
      </w:r>
      <w:r>
        <w:rPr>
          <w:spacing w:val="-2"/>
        </w:rPr>
        <w:t>.  Guarantor represents and warrants that:</w:t>
      </w:r>
    </w:p>
    <w:p>
      <w:pPr>
        <w:pStyle w:val="Justified"/>
        <w:ind w:firstLine="720" w:end="0"/>
        <w:rPr>
          <w:spacing w:val="-2"/>
        </w:rPr>
      </w:pPr>
      <w:r>
        <w:rPr>
          <w:spacing w:val="-2"/>
        </w:rPr>
        <w:t>(a)</w:t>
        <w:tab/>
        <w:t>it is a corporation duly organized and validly existing under the laws of the State of  Oregon and has the corporate power and authority to execute, deliver and carry out the terms and provisions of the Guarantee;</w:t>
      </w:r>
    </w:p>
    <w:p>
      <w:pPr>
        <w:pStyle w:val="Justified"/>
        <w:ind w:firstLine="720" w:end="0"/>
        <w:rPr>
          <w:spacing w:val="-2"/>
        </w:rPr>
      </w:pPr>
      <w:r>
        <w:rPr>
          <w:spacing w:val="-2"/>
        </w:rPr>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Justified"/>
        <w:ind w:firstLine="720" w:end="0"/>
        <w:rPr>
          <w:spacing w:val="-2"/>
        </w:rPr>
      </w:pPr>
      <w:r>
        <w:rPr>
          <w:spacing w:val="-2"/>
        </w:rPr>
        <w:t>(c)</w:t>
        <w:tab/>
        <w:t>this Guarantee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Justified"/>
        <w:ind w:firstLine="720" w:end="0"/>
        <w:rPr>
          <w:spacing w:val="-2"/>
        </w:rPr>
      </w:pPr>
      <w:r>
        <w:rPr>
          <w:spacing w:val="-2"/>
        </w:rPr>
        <w:t>4.</w:t>
        <w:tab/>
        <w:t>SETOFFS AND COUNTERCLAIMS.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 .  The Counterparty shall not be obligated to file any claim relating to the Obligations owing to it in the event that the Company becomes subject to a bankruptcy, reorganization or similar proceeding and the failure of the Counterparty to so file shall not affect the Guarantor’s obligations hereunder.  Notwithstanding anything to the contrary herein, the liability of Guarantor under for the Obligations shall not be effected because of the bankruptcy, insolvency, dissolution or liquidation of the Company.</w:t>
      </w:r>
    </w:p>
    <w:p>
      <w:pPr>
        <w:pStyle w:val="Justified"/>
        <w:ind w:firstLine="720" w:end="0"/>
        <w:rPr/>
      </w:pPr>
      <w:r>
        <w:rPr>
          <w:spacing w:val="-2"/>
        </w:rPr>
        <w:t>5.</w:t>
        <w:tab/>
      </w:r>
      <w:r>
        <w:rPr>
          <w:spacing w:val="-2"/>
          <w:u w:val="single"/>
        </w:rPr>
        <w:t>AMENDMENT OF GUARANTY</w:t>
      </w:r>
      <w:r>
        <w:rPr>
          <w:spacing w:val="-2"/>
        </w:rPr>
        <w:t>.  No term or provision of this Guarantee shall be amended, modified, altered, waived, or supplemented except in a writing signed by the parties hereto.</w:t>
      </w:r>
    </w:p>
    <w:p>
      <w:pPr>
        <w:pStyle w:val="Justified"/>
        <w:ind w:firstLine="720" w:end="0"/>
        <w:rPr/>
      </w:pPr>
      <w:r>
        <w:rPr>
          <w:spacing w:val="-2"/>
        </w:rPr>
        <w:t>6.</w:t>
        <w:tab/>
      </w:r>
      <w:r>
        <w:rPr>
          <w:spacing w:val="-2"/>
          <w:u w:val="single"/>
        </w:rPr>
        <w:t>WAIVERS</w:t>
      </w:r>
      <w:r>
        <w:rPr>
          <w:spacing w:val="-2"/>
        </w:rPr>
        <w:t xml:space="preserve">.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Counterparty seek enforcement of any performance against Company or any other person, prior to any action against Guarantor under the terms hereof </w:t>
      </w:r>
    </w:p>
    <w:p>
      <w:pPr>
        <w:pStyle w:val="Justified"/>
        <w:ind w:firstLine="720" w:end="0"/>
        <w:rPr>
          <w:spacing w:val="-2"/>
        </w:rPr>
      </w:pPr>
      <w:r>
        <w:rPr>
          <w:spacing w:val="-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Justified"/>
        <w:ind w:firstLine="720" w:end="0"/>
        <w:rPr>
          <w:spacing w:val="-2"/>
        </w:rPr>
      </w:pPr>
      <w:r>
        <w:rPr>
          <w:spacing w:val="-2"/>
        </w:rPr>
        <w:t>Guarantor consents to the renewal, compromise, extension, acceleration or other changes in the time of payment of or other changes in the terms of the Obligations, or any part thereof or any changes or modifications to the terms of the Agreement.</w:t>
      </w:r>
    </w:p>
    <w:p>
      <w:pPr>
        <w:pStyle w:val="Justified"/>
        <w:ind w:firstLine="720" w:end="0"/>
        <w:rPr>
          <w:spacing w:val="-2"/>
        </w:rPr>
      </w:pPr>
      <w:r>
        <w:rPr/>
        <w:t>Guarantor may terminate this Guarantee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Agreement) entered into prior to the time the termination is effective, which Transaction shall remain guaranteed pursuant to the terms of this Guarantee.</w:t>
      </w:r>
    </w:p>
    <w:p>
      <w:pPr>
        <w:pStyle w:val="Justified"/>
        <w:ind w:firstLine="720" w:end="0"/>
        <w:rPr/>
      </w:pPr>
      <w:r>
        <w:rPr>
          <w:spacing w:val="-2"/>
        </w:rPr>
        <w:t>7.</w:t>
        <w:tab/>
      </w:r>
      <w:r>
        <w:rPr>
          <w:spacing w:val="-2"/>
          <w:u w:val="single"/>
        </w:rPr>
        <w:t>NOTICE</w:t>
      </w:r>
      <w:r>
        <w:rPr>
          <w:spacing w:val="-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uppressAutoHyphens w:val="true"/>
        <w:rPr>
          <w:spacing w:val="-2"/>
          <w:sz w:val="22"/>
        </w:rPr>
      </w:pPr>
      <w:r>
        <w:rPr>
          <w:spacing w:val="-2"/>
          <w:sz w:val="22"/>
        </w:rPr>
      </w:r>
    </w:p>
    <w:p>
      <w:pPr>
        <w:pStyle w:val="Normal"/>
        <w:keepNext w:val="true"/>
        <w:tabs>
          <w:tab w:val="clear" w:pos="720"/>
          <w:tab w:val="left" w:pos="1440" w:leader="none"/>
          <w:tab w:val="left" w:pos="4320" w:leader="none"/>
          <w:tab w:val="left" w:pos="7920" w:leader="none"/>
        </w:tabs>
        <w:suppressAutoHyphens w:val="true"/>
        <w:ind w:start="720" w:end="0"/>
        <w:rPr>
          <w:spacing w:val="-3"/>
          <w:sz w:val="22"/>
        </w:rPr>
      </w:pPr>
      <w:r>
        <w:rPr>
          <w:spacing w:val="-2"/>
          <w:sz w:val="22"/>
        </w:rPr>
        <w:t>To Counterparty:</w:t>
        <w:tab/>
        <w:t>NRG Power Marketing Inc.</w:t>
      </w:r>
    </w:p>
    <w:p>
      <w:pPr>
        <w:pStyle w:val="Index3"/>
        <w:keepNext w:val="true"/>
        <w:tabs>
          <w:tab w:val="clear" w:pos="720"/>
          <w:tab w:val="left" w:pos="1440" w:leader="none"/>
          <w:tab w:val="left" w:pos="4320" w:leader="none"/>
          <w:tab w:val="left" w:pos="7920" w:leader="none"/>
        </w:tabs>
        <w:suppressAutoHyphens w:val="true"/>
        <w:rPr>
          <w:spacing w:val="-3"/>
        </w:rPr>
      </w:pPr>
      <w:r>
        <w:rPr>
          <w:spacing w:val="-3"/>
        </w:rPr>
        <w:tab/>
        <w:tab/>
        <w:t>1221 Nicollet Mall, Ste. 700</w:t>
      </w:r>
    </w:p>
    <w:p>
      <w:pPr>
        <w:pStyle w:val="Index3"/>
        <w:keepNext w:val="true"/>
        <w:tabs>
          <w:tab w:val="clear" w:pos="720"/>
          <w:tab w:val="left" w:pos="1440" w:leader="none"/>
          <w:tab w:val="left" w:pos="4320" w:leader="none"/>
          <w:tab w:val="left" w:pos="7920" w:leader="none"/>
        </w:tabs>
        <w:suppressAutoHyphens w:val="true"/>
        <w:rPr>
          <w:spacing w:val="-3"/>
        </w:rPr>
      </w:pPr>
      <w:r>
        <w:rPr>
          <w:spacing w:val="-3"/>
        </w:rPr>
        <w:tab/>
        <w:tab/>
        <w:t>Minneapolis, MN  55403-2445</w:t>
      </w:r>
    </w:p>
    <w:p>
      <w:pPr>
        <w:pStyle w:val="Normal"/>
        <w:keepNext w:val="true"/>
        <w:tabs>
          <w:tab w:val="clear" w:pos="720"/>
          <w:tab w:val="left" w:pos="1440" w:leader="none"/>
          <w:tab w:val="left" w:pos="4320" w:leader="none"/>
          <w:tab w:val="left" w:pos="7920" w:leader="none"/>
        </w:tabs>
        <w:suppressAutoHyphens w:val="true"/>
        <w:ind w:start="720" w:end="0"/>
        <w:rPr>
          <w:spacing w:val="-3"/>
          <w:sz w:val="22"/>
        </w:rPr>
      </w:pPr>
      <w:r>
        <w:rPr>
          <w:spacing w:val="-3"/>
          <w:sz w:val="22"/>
        </w:rPr>
        <w:tab/>
        <w:tab/>
        <w:t>Attn.: Treasurer</w:t>
      </w:r>
    </w:p>
    <w:p>
      <w:pPr>
        <w:pStyle w:val="Normal"/>
        <w:keepNext w:val="true"/>
        <w:tabs>
          <w:tab w:val="clear" w:pos="720"/>
          <w:tab w:val="left" w:pos="1440" w:leader="none"/>
          <w:tab w:val="left" w:pos="4320" w:leader="none"/>
          <w:tab w:val="left" w:pos="7920" w:leader="none"/>
        </w:tabs>
        <w:suppressAutoHyphens w:val="true"/>
        <w:ind w:start="720" w:end="0"/>
        <w:rPr>
          <w:spacing w:val="-2"/>
          <w:sz w:val="22"/>
        </w:rPr>
      </w:pPr>
      <w:r>
        <w:rPr>
          <w:spacing w:val="-3"/>
          <w:sz w:val="22"/>
        </w:rPr>
        <w:tab/>
        <w:tab/>
        <w:t>Fax No.(612) 373-8804</w:t>
      </w:r>
    </w:p>
    <w:p>
      <w:pPr>
        <w:pStyle w:val="Normal"/>
        <w:tabs>
          <w:tab w:val="clear" w:pos="720"/>
          <w:tab w:val="left" w:pos="1440" w:leader="none"/>
          <w:tab w:val="left" w:pos="4320" w:leader="none"/>
        </w:tabs>
        <w:suppressAutoHyphens w:val="true"/>
        <w:ind w:start="720" w:end="0"/>
        <w:rPr>
          <w:spacing w:val="-2"/>
          <w:sz w:val="22"/>
        </w:rPr>
      </w:pPr>
      <w:r>
        <w:rPr>
          <w:spacing w:val="-2"/>
          <w:sz w:val="22"/>
        </w:rPr>
      </w:r>
    </w:p>
    <w:p>
      <w:pPr>
        <w:pStyle w:val="Normal"/>
        <w:keepNext w:val="true"/>
        <w:keepLines/>
        <w:tabs>
          <w:tab w:val="clear" w:pos="720"/>
          <w:tab w:val="left" w:pos="1440" w:leader="none"/>
          <w:tab w:val="left" w:pos="4320" w:leader="none"/>
        </w:tabs>
        <w:suppressAutoHyphens w:val="true"/>
        <w:ind w:start="720" w:end="0"/>
        <w:rPr>
          <w:spacing w:val="-2"/>
          <w:sz w:val="22"/>
        </w:rPr>
      </w:pPr>
      <w:r>
        <w:rPr>
          <w:spacing w:val="-2"/>
          <w:sz w:val="22"/>
        </w:rPr>
        <w:t>To Guarantor:</w:t>
        <w:tab/>
        <w:t>Enron Corp.</w:t>
      </w:r>
    </w:p>
    <w:p>
      <w:pPr>
        <w:pStyle w:val="Normal"/>
        <w:keepNext w:val="true"/>
        <w:keepLines/>
        <w:tabs>
          <w:tab w:val="clear" w:pos="720"/>
          <w:tab w:val="left" w:pos="1440" w:leader="none"/>
          <w:tab w:val="left" w:pos="4320" w:leader="none"/>
        </w:tabs>
        <w:suppressAutoHyphens w:val="true"/>
        <w:ind w:start="720" w:end="0"/>
        <w:rPr>
          <w:spacing w:val="-2"/>
          <w:sz w:val="22"/>
        </w:rPr>
      </w:pPr>
      <w:r>
        <w:rPr>
          <w:spacing w:val="-2"/>
          <w:sz w:val="22"/>
        </w:rPr>
        <w:tab/>
        <w:tab/>
        <w:t>1400 Smith Street</w:t>
      </w:r>
    </w:p>
    <w:p>
      <w:pPr>
        <w:pStyle w:val="Normal"/>
        <w:keepNext w:val="true"/>
        <w:keepLines/>
        <w:tabs>
          <w:tab w:val="clear" w:pos="720"/>
          <w:tab w:val="left" w:pos="1440" w:leader="none"/>
          <w:tab w:val="left" w:pos="4320" w:leader="none"/>
        </w:tabs>
        <w:suppressAutoHyphens w:val="true"/>
        <w:ind w:start="720" w:end="0"/>
        <w:rPr>
          <w:spacing w:val="-2"/>
          <w:sz w:val="22"/>
        </w:rPr>
      </w:pPr>
      <w:r>
        <w:rPr>
          <w:spacing w:val="-2"/>
          <w:sz w:val="22"/>
        </w:rPr>
        <w:tab/>
        <w:tab/>
        <w:t>Houston, Texas  77002</w:t>
      </w:r>
    </w:p>
    <w:p>
      <w:pPr>
        <w:pStyle w:val="Normal"/>
        <w:keepNext w:val="true"/>
        <w:keepLines/>
        <w:tabs>
          <w:tab w:val="clear" w:pos="720"/>
          <w:tab w:val="left" w:pos="1440" w:leader="none"/>
          <w:tab w:val="left" w:pos="4320" w:leader="none"/>
        </w:tabs>
        <w:suppressAutoHyphens w:val="true"/>
        <w:ind w:start="720" w:end="0"/>
        <w:rPr>
          <w:spacing w:val="-2"/>
          <w:sz w:val="22"/>
        </w:rPr>
      </w:pPr>
      <w:r>
        <w:rPr>
          <w:spacing w:val="-2"/>
          <w:sz w:val="22"/>
        </w:rPr>
        <w:tab/>
        <w:tab/>
        <w:t>Attn.:  Vice President, Finance and Treasurer</w:t>
      </w:r>
    </w:p>
    <w:p>
      <w:pPr>
        <w:pStyle w:val="Normal"/>
        <w:tabs>
          <w:tab w:val="clear" w:pos="720"/>
          <w:tab w:val="left" w:pos="1440" w:leader="none"/>
          <w:tab w:val="left" w:pos="4320" w:leader="none"/>
        </w:tabs>
        <w:suppressAutoHyphens w:val="true"/>
        <w:ind w:start="720" w:end="0"/>
        <w:rPr>
          <w:spacing w:val="-2"/>
          <w:sz w:val="22"/>
        </w:rPr>
      </w:pPr>
      <w:r>
        <w:rPr>
          <w:spacing w:val="-2"/>
          <w:sz w:val="22"/>
        </w:rPr>
        <w:tab/>
        <w:tab/>
        <w:t>Fax No.:  (713) 646-3422</w:t>
      </w:r>
    </w:p>
    <w:p>
      <w:pPr>
        <w:pStyle w:val="Normal"/>
        <w:suppressAutoHyphens w:val="true"/>
        <w:rPr>
          <w:spacing w:val="-2"/>
          <w:sz w:val="22"/>
        </w:rPr>
      </w:pPr>
      <w:r>
        <w:rPr>
          <w:spacing w:val="-2"/>
          <w:sz w:val="22"/>
        </w:rPr>
      </w:r>
    </w:p>
    <w:p>
      <w:pPr>
        <w:pStyle w:val="Justified"/>
        <w:ind w:firstLine="720" w:end="0"/>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w:t>
      </w:r>
      <w:r>
        <w:rPr>
          <w:rFonts w:cs="Arial" w:ascii="Arial" w:hAnsi="Arial"/>
        </w:rPr>
        <w:t>p</w:t>
      </w:r>
      <w:r>
        <w:rPr/>
        <w:t>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Heading2"/>
        <w:numPr>
          <w:ilvl w:val="0"/>
          <w:numId w:val="3"/>
        </w:numPr>
        <w:tabs>
          <w:tab w:val="clear" w:pos="720"/>
          <w:tab w:val="left" w:pos="0" w:leader="none"/>
        </w:tabs>
        <w:ind w:firstLine="720" w:start="0" w:end="0"/>
        <w:rPr>
          <w:rFonts w:ascii="Times New Roman" w:hAnsi="Times New Roman" w:cs="Times New Roman"/>
          <w:i w:val="false"/>
          <w:i w:val="false"/>
          <w:sz w:val="22"/>
        </w:rPr>
      </w:pPr>
      <w:r>
        <w:rPr>
          <w:rFonts w:cs="Times New Roman" w:ascii="Times New Roman" w:hAnsi="Times New Roman"/>
          <w:b w:val="false"/>
          <w:i w:val="false"/>
          <w:spacing w:val="-2"/>
          <w:sz w:val="22"/>
          <w:u w:val="single"/>
        </w:rPr>
        <w:t>SUBROGATION</w:t>
      </w:r>
      <w:r>
        <w:rPr>
          <w:rFonts w:cs="Times New Roman" w:ascii="Times New Roman" w:hAnsi="Times New Roman"/>
          <w:b w:val="false"/>
          <w:i w:val="false"/>
          <w:sz w:val="22"/>
        </w:rPr>
        <w:t>.  Upon full and final payment and performance by Guarantor of all the Obligations owing to the Counterparty, the Guarantor shall be subrogated to the rights of the Counterparty against the Company, and the Counterparty agrees to take at the Guarantor’s expense such steps as the Guarantor may reasonably request to implement such subrogation.</w:t>
      </w:r>
    </w:p>
    <w:p>
      <w:pPr>
        <w:pStyle w:val="Normal"/>
        <w:rPr>
          <w:rFonts w:ascii="Times New Roman" w:hAnsi="Times New Roman" w:cs="Times New Roman"/>
          <w:i/>
          <w:i/>
          <w:sz w:val="22"/>
        </w:rPr>
      </w:pPr>
      <w:r>
        <w:rPr>
          <w:rFonts w:cs="Times New Roman"/>
          <w:i/>
          <w:sz w:val="22"/>
        </w:rPr>
      </w:r>
    </w:p>
    <w:p>
      <w:pPr>
        <w:pStyle w:val="Justified"/>
        <w:numPr>
          <w:ilvl w:val="0"/>
          <w:numId w:val="2"/>
        </w:numPr>
        <w:tabs>
          <w:tab w:val="clear" w:pos="720"/>
          <w:tab w:val="left" w:pos="0" w:leader="none"/>
        </w:tabs>
        <w:ind w:firstLine="720" w:start="0" w:end="0"/>
        <w:rPr/>
      </w:pPr>
      <w:r>
        <w:rPr>
          <w:u w:val="single"/>
        </w:rPr>
        <w:t>MISCELLANEOUS</w:t>
      </w:r>
      <w:r>
        <w:rPr/>
        <w:t xml:space="preserve">.  THIS GUARANTEE SHALL IN ALL RESPECTS BE GOVERNED BY, AND CONSTRUED IN ACCORDANCE WITH, THE LAWS OF THE STATE OF NEW YORK, WITHOUT REGARD TO PRINCIPLES OF CONFLICTS OF LAWS.  This Guarantee shall be binding upon and inure to the benefit of the permitted successors and assigns of both parties.  The Guarantee embodies the entire agreement and understanding between Guarantor and Counterparty and supersedes the Guaranty Agreement dated March 27, 2000 and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instrument.  </w:t>
      </w:r>
    </w:p>
    <w:p>
      <w:pPr>
        <w:pStyle w:val="Justified"/>
        <w:ind w:firstLine="720" w:end="0"/>
        <w:rPr/>
      </w:pPr>
      <w:r>
        <w:rPr/>
        <w:t>EXECUTED on September __, 2001, but effective as of the day and year first above written.</w:t>
      </w:r>
    </w:p>
    <w:p>
      <w:pPr>
        <w:pStyle w:val="Normal"/>
        <w:keepNext w:val="true"/>
        <w:keepLines/>
        <w:suppressAutoHyphens w:val="true"/>
        <w:rPr>
          <w:spacing w:val="-2"/>
          <w:sz w:val="22"/>
        </w:rPr>
      </w:pPr>
      <w:r>
        <w:rPr>
          <w:spacing w:val="-2"/>
          <w:sz w:val="22"/>
        </w:rPr>
      </w:r>
    </w:p>
    <w:p>
      <w:pPr>
        <w:pStyle w:val="Normal"/>
        <w:keepNext w:val="true"/>
        <w:keepLines/>
        <w:suppressAutoHyphens w:val="true"/>
        <w:rPr>
          <w:spacing w:val="-2"/>
          <w:sz w:val="22"/>
        </w:rPr>
      </w:pPr>
      <w:r>
        <w:rPr>
          <w:spacing w:val="-2"/>
          <w:sz w:val="22"/>
        </w:rPr>
      </w:r>
    </w:p>
    <w:p>
      <w:pPr>
        <w:pStyle w:val="Normal"/>
        <w:keepNext w:val="true"/>
        <w:keepLines/>
        <w:tabs>
          <w:tab w:val="clear" w:pos="720"/>
          <w:tab w:val="left" w:pos="5040" w:leader="none"/>
          <w:tab w:val="left" w:pos="9180" w:leader="none"/>
        </w:tabs>
        <w:suppressAutoHyphens w:val="true"/>
        <w:rPr>
          <w:spacing w:val="-2"/>
          <w:sz w:val="22"/>
        </w:rPr>
      </w:pPr>
      <w:r>
        <w:rPr>
          <w:b/>
          <w:spacing w:val="-2"/>
          <w:sz w:val="22"/>
        </w:rPr>
        <w:tab/>
        <w:t>ENRON CORP.</w:t>
      </w:r>
    </w:p>
    <w:p>
      <w:pPr>
        <w:pStyle w:val="Normal"/>
        <w:keepNext w:val="true"/>
        <w:keepLines/>
        <w:tabs>
          <w:tab w:val="clear" w:pos="720"/>
          <w:tab w:val="left" w:pos="5040" w:leader="none"/>
          <w:tab w:val="left" w:pos="9180" w:leader="none"/>
        </w:tabs>
        <w:suppressAutoHyphens w:val="true"/>
        <w:rPr>
          <w:spacing w:val="-2"/>
          <w:sz w:val="22"/>
        </w:rPr>
      </w:pPr>
      <w:r>
        <w:rPr>
          <w:spacing w:val="-2"/>
          <w:sz w:val="22"/>
        </w:rPr>
      </w:r>
    </w:p>
    <w:p>
      <w:pPr>
        <w:pStyle w:val="Normal"/>
        <w:keepNext w:val="true"/>
        <w:keepLines/>
        <w:tabs>
          <w:tab w:val="clear" w:pos="720"/>
          <w:tab w:val="left" w:pos="5040" w:leader="none"/>
          <w:tab w:val="left" w:pos="9180" w:leader="none"/>
        </w:tabs>
        <w:suppressAutoHyphens w:val="true"/>
        <w:rPr>
          <w:spacing w:val="-2"/>
          <w:sz w:val="22"/>
        </w:rPr>
      </w:pPr>
      <w:r>
        <w:rPr>
          <w:spacing w:val="-2"/>
          <w:sz w:val="22"/>
        </w:rPr>
      </w:r>
    </w:p>
    <w:p>
      <w:pPr>
        <w:pStyle w:val="Normal"/>
        <w:keepNext w:val="true"/>
        <w:keepLines/>
        <w:tabs>
          <w:tab w:val="clear" w:pos="720"/>
          <w:tab w:val="left" w:pos="5040" w:leader="none"/>
        </w:tabs>
        <w:suppressAutoHyphens w:val="true"/>
        <w:spacing w:before="120" w:after="0"/>
        <w:rPr>
          <w:spacing w:val="-2"/>
          <w:sz w:val="22"/>
        </w:rPr>
      </w:pPr>
      <w:r>
        <w:rPr>
          <w:spacing w:val="-2"/>
          <w:sz w:val="22"/>
        </w:rPr>
        <w:tab/>
        <w:t>By:</w:t>
      </w:r>
      <w:r>
        <w:rPr>
          <w:spacing w:val="-2"/>
          <w:sz w:val="22"/>
          <w:u w:val="single"/>
        </w:rPr>
        <w:tab/>
        <w:tab/>
        <w:tab/>
        <w:tab/>
        <w:tab/>
        <w:tab/>
      </w:r>
    </w:p>
    <w:p>
      <w:pPr>
        <w:pStyle w:val="Header"/>
        <w:keepNext w:val="true"/>
        <w:keepLines/>
        <w:tabs>
          <w:tab w:val="clear" w:pos="4320"/>
          <w:tab w:val="clear" w:pos="8640"/>
          <w:tab w:val="left" w:pos="-1440" w:leader="none"/>
          <w:tab w:val="left" w:pos="-720" w:leader="none"/>
          <w:tab w:val="left" w:pos="5310" w:leader="none"/>
          <w:tab w:val="left" w:pos="9900" w:leader="none"/>
        </w:tabs>
        <w:suppressAutoHyphens w:val="true"/>
        <w:rPr>
          <w:sz w:val="22"/>
        </w:rPr>
      </w:pPr>
      <w:r>
        <w:rPr>
          <w:sz w:val="22"/>
        </w:rPr>
        <w:tab/>
        <w:t>____________________________________</w:t>
      </w:r>
    </w:p>
    <w:p>
      <w:pPr>
        <w:pStyle w:val="Normal"/>
        <w:keepNext w:val="true"/>
        <w:keepLines/>
        <w:tabs>
          <w:tab w:val="clear" w:pos="720"/>
          <w:tab w:val="left" w:pos="-1440" w:leader="none"/>
          <w:tab w:val="left" w:pos="-720" w:leader="none"/>
          <w:tab w:val="left" w:pos="5310" w:leader="none"/>
          <w:tab w:val="left" w:pos="9900" w:leader="none"/>
        </w:tabs>
        <w:suppressAutoHyphens w:val="true"/>
        <w:ind w:firstLine="5310" w:end="0"/>
        <w:rPr>
          <w:sz w:val="22"/>
        </w:rPr>
      </w:pPr>
      <w:r>
        <w:rPr>
          <w:sz w:val="22"/>
        </w:rPr>
        <w:t>____________________________________</w:t>
      </w:r>
    </w:p>
    <w:p>
      <w:pPr>
        <w:pStyle w:val="Normal"/>
        <w:keepNext w:val="true"/>
        <w:keepLines/>
        <w:tabs>
          <w:tab w:val="clear" w:pos="720"/>
          <w:tab w:val="left" w:pos="-1440" w:leader="none"/>
          <w:tab w:val="left" w:pos="-720" w:leader="none"/>
          <w:tab w:val="left" w:pos="5310" w:leader="none"/>
          <w:tab w:val="left" w:pos="9900" w:leader="none"/>
        </w:tabs>
        <w:suppressAutoHyphens w:val="true"/>
        <w:rPr>
          <w:sz w:val="22"/>
        </w:rPr>
      </w:pPr>
      <w:r>
        <w:rPr>
          <w:sz w:val="22"/>
        </w:rPr>
      </w:r>
    </w:p>
    <w:p>
      <w:pPr>
        <w:pStyle w:val="Normal"/>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9"/>
      <w:numFmt w:val="decimal"/>
      <w:lvlText w:val="%1."/>
      <w:lvlJc w:val="start"/>
      <w:pPr>
        <w:tabs>
          <w:tab w:val="num" w:pos="1080"/>
        </w:tabs>
        <w:ind w:start="1080" w:hanging="360"/>
      </w:pPr>
      <w:rPr/>
    </w:lvl>
  </w:abstractNum>
  <w:abstractNum w:abstractNumId="3">
    <w:lvl w:ilvl="0">
      <w:start w:val="8"/>
      <w:numFmt w:val="decimal"/>
      <w:lvlText w:val="%1."/>
      <w:lvlJc w:val="start"/>
      <w:pPr>
        <w:tabs>
          <w:tab w:val="num" w:pos="1440"/>
        </w:tabs>
        <w:ind w:start="1440" w:hanging="720"/>
      </w:pPr>
      <w:rPr>
        <w:b w:val="false"/>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character" w:styleId="WW8Num1z0">
    <w:name w:val="WW8Num1z0"/>
    <w:qFormat/>
    <w:rPr/>
  </w:style>
  <w:style w:type="character" w:styleId="WW8Num2z0">
    <w:name w:val="WW8Num2z0"/>
    <w:qFormat/>
    <w:rPr/>
  </w:style>
  <w:style w:type="character" w:styleId="WW8Num3z0">
    <w:name w:val="WW8Num3z0"/>
    <w:qFormat/>
    <w:rPr>
      <w:b w:val="false"/>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lineRule="exact" w:line="280"/>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x3">
    <w:name w:val="index 3"/>
    <w:basedOn w:val="Normal"/>
    <w:next w:val="Normal"/>
    <w:pPr>
      <w:ind w:hanging="0" w:start="720" w:end="0"/>
      <w:jc w:val="both"/>
    </w:pPr>
    <w:rPr>
      <w:sz w:val="22"/>
    </w:rPr>
  </w:style>
  <w:style w:type="paragraph" w:styleId="Justified">
    <w:name w:val="Justified"/>
    <w:basedOn w:val="Normal"/>
    <w:next w:val="Heading2"/>
    <w:qFormat/>
    <w:pPr>
      <w:spacing w:before="0" w:after="120"/>
      <w:jc w:val="both"/>
    </w:pPr>
    <w:rPr>
      <w:sz w:val="22"/>
    </w:rPr>
  </w:style>
  <w:style w:type="paragraph" w:styleId="BodyTextIndent">
    <w:name w:val="Body Text Indent"/>
    <w:basedOn w:val="Normal"/>
    <w:pPr>
      <w:ind w:hanging="0" w:start="720"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2001-07-30T20:38:00Z</dcterms:created>
  <dc:creator>Barbara Olson</dc:creator>
  <dc:description/>
  <dc:language>en-CA</dc:language>
  <cp:lastModifiedBy>dportz</cp:lastModifiedBy>
  <cp:lastPrinted>2001-07-12T09:14:00Z</cp:lastPrinted>
  <dcterms:modified xsi:type="dcterms:W3CDTF">2001-09-20T20:39:00Z</dcterms:modified>
  <cp:revision>8</cp:revision>
  <dc:subject/>
  <dc:title>EXHIBIT "C"</dc:title>
</cp:coreProperties>
</file>