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Text"/>
        <w:spacing w:before="0" w:after="2400"/>
        <w:rPr/>
      </w:pPr>
      <w:r>
        <w:rPr/>
      </w:r>
    </w:p>
    <w:p>
      <w:pPr>
        <w:pStyle w:val="CenteredHeading"/>
        <w:spacing w:before="480" w:after="240"/>
        <w:rPr/>
      </w:pPr>
      <w:r>
        <w:rPr/>
        <w:t>ASSET PURCHASE AGREEMENT</w:t>
      </w:r>
    </w:p>
    <w:p>
      <w:pPr>
        <w:pStyle w:val="CenteredHeading"/>
        <w:rPr/>
      </w:pPr>
      <w:r>
        <w:rPr/>
        <w:t>by and among</w:t>
      </w:r>
    </w:p>
    <w:p>
      <w:pPr>
        <w:pStyle w:val="CenteredHeading"/>
        <w:rPr/>
      </w:pPr>
      <w:r>
        <w:rPr/>
        <w:t>ENRON CORP.,</w:t>
      </w:r>
    </w:p>
    <w:p>
      <w:pPr>
        <w:pStyle w:val="CenteredHeading"/>
        <w:rPr/>
      </w:pPr>
      <w:r>
        <w:rPr/>
        <w:t>ENRON NORTH AMERICA CORP.,</w:t>
      </w:r>
    </w:p>
    <w:p>
      <w:pPr>
        <w:pStyle w:val="CenteredHeading"/>
        <w:rPr/>
      </w:pPr>
      <w:r>
        <w:rPr/>
        <w:t xml:space="preserve">certain AFFILIATES of ENRON CORP., </w:t>
      </w:r>
    </w:p>
    <w:p>
      <w:pPr>
        <w:pStyle w:val="BodyText"/>
        <w:ind w:hanging="0" w:end="0"/>
        <w:jc w:val="center"/>
        <w:rPr/>
      </w:pPr>
      <w:r>
        <w:rPr/>
        <w:t>SALOMON SMITH BARNEY HOLDINGS INC.,</w:t>
      </w:r>
    </w:p>
    <w:p>
      <w:pPr>
        <w:pStyle w:val="CenteredHeading"/>
        <w:rPr/>
      </w:pPr>
      <w:r>
        <w:rPr/>
        <w:t>NETB LLC</w:t>
      </w:r>
    </w:p>
    <w:p>
      <w:pPr>
        <w:pStyle w:val="CenteredHeading"/>
        <w:rPr/>
      </w:pPr>
      <w:r>
        <w:rPr/>
        <w:t>and</w:t>
      </w:r>
    </w:p>
    <w:p>
      <w:pPr>
        <w:pStyle w:val="CenteredHeading"/>
        <w:rPr/>
      </w:pPr>
      <w:r>
        <w:rPr/>
        <w:t>NETB CANADA HOLDINGS LLC</w:t>
      </w:r>
    </w:p>
    <w:p>
      <w:pPr>
        <w:pStyle w:val="CenteredHeading"/>
        <w:rPr/>
      </w:pPr>
      <w:r>
        <w:rPr/>
        <w:t>________________</w:t>
      </w:r>
    </w:p>
    <w:p>
      <w:pPr>
        <w:pStyle w:val="CenteredHeading"/>
        <w:rPr/>
      </w:pPr>
      <w:r>
        <w:rPr/>
        <w:t>Dated as of</w:t>
      </w:r>
    </w:p>
    <w:p>
      <w:pPr>
        <w:pStyle w:val="CenteredHeading"/>
        <w:rPr/>
      </w:pPr>
      <w:r>
        <w:rPr/>
        <w:t>January 11, 2002</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vAlign w:val="center"/>
          <w:titlePg/>
          <w:textDirection w:val="lrTb"/>
          <w:docGrid w:type="default" w:linePitch="360" w:charSpace="0"/>
        </w:sectPr>
        <w:pStyle w:val="CoverText"/>
        <w:spacing w:before="2880" w:after="0"/>
        <w:rPr/>
      </w:pPr>
      <w:r>
        <w:rPr/>
      </w:r>
    </w:p>
    <w:p>
      <w:pPr>
        <w:pStyle w:val="Normal"/>
        <w:spacing w:before="0" w:after="240"/>
        <w:jc w:val="center"/>
        <w:rPr/>
      </w:pPr>
      <w:bookmarkStart w:id="6" w:name="TOCSection"/>
      <w:bookmarkEnd w:id="6"/>
      <w:r>
        <w:rPr/>
        <w:t>TABLE OF CONTENTS</w:t>
      </w:r>
    </w:p>
    <w:p>
      <w:pPr>
        <w:pStyle w:val="Normal"/>
        <w:tabs>
          <w:tab w:val="clear" w:pos="720"/>
          <w:tab w:val="center" w:pos="9000" w:leader="none"/>
        </w:tabs>
        <w:rPr/>
      </w:pPr>
      <w:r>
        <w:rPr/>
        <w:tab/>
        <w:t>Page</w:t>
      </w:r>
    </w:p>
    <w:p>
      <w:pPr>
        <w:pStyle w:val="Normal"/>
        <w:tabs>
          <w:tab w:val="clear" w:pos="720"/>
          <w:tab w:val="center" w:pos="9000" w:leader="none"/>
        </w:tabs>
        <w:rPr/>
      </w:pPr>
      <w:r>
        <w:rPr/>
        <w:tab/>
      </w:r>
      <w:r>
        <w:rPr>
          <w:u w:val="single"/>
        </w:rPr>
        <w:t>Number</w:t>
      </w:r>
    </w:p>
    <w:sdt>
      <w:sdtPr>
        <w:docPartObj>
          <w:docPartGallery w:val="Table of Contents"/>
          <w:docPartUnique w:val="true"/>
        </w:docPartObj>
      </w:sdtPr>
      <w:sdtContent>
        <w:p>
          <w:pPr>
            <w:pStyle w:val="TOC1"/>
            <w:tabs>
              <w:tab w:val="clear" w:pos="720"/>
              <w:tab w:val="right" w:pos="9350" w:leader="dot"/>
            </w:tabs>
            <w:rPr/>
          </w:pPr>
          <w:r>
            <w:fldChar w:fldCharType="begin"/>
          </w:r>
          <w:r>
            <w:rPr/>
            <w:instrText xml:space="preserve"> TOC \f\w\x \* MERGEFORMAT </w:instrText>
          </w:r>
          <w:r>
            <w:rPr/>
            <w:fldChar w:fldCharType="separate"/>
          </w:r>
          <w:bookmarkStart w:id="7" w:name="BeginTOC"/>
          <w:bookmarkEnd w:id="7"/>
          <w:r>
            <w:rPr/>
            <w:t>ARTICLE 1</w:t>
            <w:br/>
            <w:br/>
            <w:t>Definitions</w:t>
          </w:r>
        </w:p>
        <w:p>
          <w:pPr>
            <w:pStyle w:val="TOC2"/>
            <w:rPr/>
          </w:pPr>
          <w:r>
            <w:rPr/>
            <w:t>Section 1.1</w:t>
            <w:tab/>
            <w:t>Definitions</w:t>
            <w:tab/>
          </w:r>
          <w:hyperlink w:anchor="__RefHeading___Toc535051532">
            <w:r>
              <w:rPr>
                <w:rStyle w:val="IndexLink"/>
              </w:rPr>
              <w:t>2</w:t>
            </w:r>
          </w:hyperlink>
        </w:p>
        <w:p>
          <w:pPr>
            <w:pStyle w:val="TOC2"/>
            <w:rPr/>
          </w:pPr>
          <w:r>
            <w:rPr/>
            <w:t>Section 1.2</w:t>
            <w:tab/>
            <w:t>Other Terms</w:t>
            <w:tab/>
          </w:r>
          <w:hyperlink w:anchor="__RefHeading___Toc535051533">
            <w:r>
              <w:rPr>
                <w:rStyle w:val="IndexLink"/>
              </w:rPr>
              <w:t>12</w:t>
            </w:r>
          </w:hyperlink>
        </w:p>
        <w:p>
          <w:pPr>
            <w:pStyle w:val="TOC2"/>
            <w:rPr/>
          </w:pPr>
          <w:r>
            <w:rPr/>
            <w:t>Section 1.3</w:t>
            <w:tab/>
            <w:t>Knowledge Qualifiers</w:t>
            <w:tab/>
          </w:r>
          <w:hyperlink w:anchor="__RefHeading___Toc535051534">
            <w:r>
              <w:rPr>
                <w:rStyle w:val="IndexLink"/>
              </w:rPr>
              <w:t>12</w:t>
            </w:r>
          </w:hyperlink>
        </w:p>
        <w:p>
          <w:pPr>
            <w:pStyle w:val="TOC1"/>
            <w:tabs>
              <w:tab w:val="clear" w:pos="720"/>
              <w:tab w:val="right" w:pos="9350" w:leader="dot"/>
            </w:tabs>
            <w:rPr/>
          </w:pPr>
          <w:r>
            <w:rPr/>
            <w:t>ARTICLE 2</w:t>
            <w:br/>
            <w:br/>
            <w:t>Sale of Assets; Closing</w:t>
          </w:r>
        </w:p>
        <w:p>
          <w:pPr>
            <w:pStyle w:val="TOC2"/>
            <w:rPr/>
          </w:pPr>
          <w:r>
            <w:rPr/>
            <w:t>Section 2.1</w:t>
            <w:tab/>
            <w:t>Assets To Be Acquired</w:t>
            <w:tab/>
          </w:r>
          <w:hyperlink w:anchor="__RefHeading___Toc535051535">
            <w:r>
              <w:rPr>
                <w:rStyle w:val="IndexLink"/>
              </w:rPr>
              <w:t>13</w:t>
            </w:r>
          </w:hyperlink>
        </w:p>
        <w:p>
          <w:pPr>
            <w:pStyle w:val="TOC2"/>
            <w:rPr/>
          </w:pPr>
          <w:r>
            <w:rPr/>
            <w:t>Section 2.2</w:t>
            <w:tab/>
            <w:t>Excluded Assets</w:t>
            <w:tab/>
          </w:r>
          <w:hyperlink w:anchor="__RefHeading___Toc535051536">
            <w:r>
              <w:rPr>
                <w:rStyle w:val="IndexLink"/>
              </w:rPr>
              <w:t>14</w:t>
            </w:r>
          </w:hyperlink>
        </w:p>
        <w:p>
          <w:pPr>
            <w:pStyle w:val="TOC2"/>
            <w:rPr/>
          </w:pPr>
          <w:r>
            <w:rPr/>
            <w:t>Section 2.3</w:t>
            <w:tab/>
            <w:t>Assumption of Liabilities</w:t>
            <w:tab/>
          </w:r>
          <w:hyperlink w:anchor="__RefHeading___Toc535051537">
            <w:r>
              <w:rPr>
                <w:rStyle w:val="IndexLink"/>
              </w:rPr>
              <w:t>15</w:t>
            </w:r>
          </w:hyperlink>
        </w:p>
        <w:p>
          <w:pPr>
            <w:pStyle w:val="TOC2"/>
            <w:rPr/>
          </w:pPr>
          <w:r>
            <w:rPr/>
            <w:t>Section 2.4</w:t>
            <w:tab/>
            <w:t>No Other Liabilities Assumed</w:t>
            <w:tab/>
          </w:r>
          <w:hyperlink w:anchor="__RefHeading___Toc535051538">
            <w:r>
              <w:rPr>
                <w:rStyle w:val="IndexLink"/>
              </w:rPr>
              <w:t>15</w:t>
            </w:r>
          </w:hyperlink>
        </w:p>
        <w:p>
          <w:pPr>
            <w:pStyle w:val="TOC2"/>
            <w:rPr/>
          </w:pPr>
          <w:r>
            <w:rPr/>
            <w:t>Section 2.5</w:t>
            <w:tab/>
            <w:t>Tax Treatment</w:t>
            <w:tab/>
          </w:r>
          <w:hyperlink w:anchor="__RefHeading___Toc535051539">
            <w:r>
              <w:rPr>
                <w:rStyle w:val="IndexLink"/>
              </w:rPr>
              <w:t>16</w:t>
            </w:r>
          </w:hyperlink>
        </w:p>
        <w:p>
          <w:pPr>
            <w:pStyle w:val="TOC2"/>
            <w:rPr/>
          </w:pPr>
          <w:r>
            <w:rPr/>
            <w:t>Section 2.6</w:t>
            <w:tab/>
            <w:t>Consideration</w:t>
            <w:tab/>
          </w:r>
          <w:hyperlink w:anchor="__RefHeading___Toc535051540">
            <w:r>
              <w:rPr>
                <w:rStyle w:val="IndexLink"/>
              </w:rPr>
              <w:t>16</w:t>
            </w:r>
          </w:hyperlink>
        </w:p>
        <w:p>
          <w:pPr>
            <w:pStyle w:val="TOC2"/>
            <w:rPr/>
          </w:pPr>
          <w:r>
            <w:rPr/>
            <w:t>Section 2.7</w:t>
            <w:tab/>
            <w:t>Dispute Resolution</w:t>
            <w:tab/>
          </w:r>
          <w:hyperlink w:anchor="__RefHeading___Toc535051541">
            <w:r>
              <w:rPr>
                <w:rStyle w:val="IndexLink"/>
              </w:rPr>
              <w:t>19</w:t>
            </w:r>
          </w:hyperlink>
        </w:p>
        <w:p>
          <w:pPr>
            <w:pStyle w:val="TOC2"/>
            <w:rPr/>
          </w:pPr>
          <w:r>
            <w:rPr/>
            <w:t>Section 2.8</w:t>
            <w:tab/>
            <w:t>Time and Place of Closing</w:t>
            <w:tab/>
          </w:r>
          <w:hyperlink w:anchor="__RefHeading___Toc535051542">
            <w:r>
              <w:rPr>
                <w:rStyle w:val="IndexLink"/>
              </w:rPr>
              <w:t>20</w:t>
            </w:r>
          </w:hyperlink>
        </w:p>
        <w:p>
          <w:pPr>
            <w:pStyle w:val="TOC2"/>
            <w:rPr/>
          </w:pPr>
          <w:r>
            <w:rPr/>
            <w:t>Section 2.9</w:t>
            <w:tab/>
            <w:t>Designation of Affiliates by Buyer</w:t>
            <w:tab/>
          </w:r>
          <w:hyperlink w:anchor="__RefHeading___Toc535051543">
            <w:r>
              <w:rPr>
                <w:rStyle w:val="IndexLink"/>
              </w:rPr>
              <w:t>20</w:t>
            </w:r>
          </w:hyperlink>
        </w:p>
        <w:p>
          <w:pPr>
            <w:pStyle w:val="TOC1"/>
            <w:tabs>
              <w:tab w:val="clear" w:pos="720"/>
              <w:tab w:val="right" w:pos="9350" w:leader="dot"/>
            </w:tabs>
            <w:rPr/>
          </w:pPr>
          <w:r>
            <w:rPr/>
            <w:t>ARTICLE 3</w:t>
            <w:br/>
            <w:br/>
            <w:t>Representations and Warranties of Sellers</w:t>
          </w:r>
        </w:p>
        <w:p>
          <w:pPr>
            <w:pStyle w:val="TOC2"/>
            <w:rPr/>
          </w:pPr>
          <w:r>
            <w:rPr/>
            <w:t>Section 3.1</w:t>
            <w:tab/>
            <w:t>Incorporation</w:t>
            <w:tab/>
          </w:r>
          <w:hyperlink w:anchor="__RefHeading___Toc535051544">
            <w:r>
              <w:rPr>
                <w:rStyle w:val="IndexLink"/>
              </w:rPr>
              <w:t>21</w:t>
            </w:r>
          </w:hyperlink>
        </w:p>
        <w:p>
          <w:pPr>
            <w:pStyle w:val="TOC2"/>
            <w:rPr/>
          </w:pPr>
          <w:r>
            <w:rPr/>
            <w:t>Section 3.2</w:t>
            <w:tab/>
            <w:t>Authorization</w:t>
            <w:tab/>
          </w:r>
          <w:hyperlink w:anchor="__RefHeading___Toc535051545">
            <w:r>
              <w:rPr>
                <w:rStyle w:val="IndexLink"/>
              </w:rPr>
              <w:t>21</w:t>
            </w:r>
          </w:hyperlink>
        </w:p>
        <w:p>
          <w:pPr>
            <w:pStyle w:val="TOC2"/>
            <w:rPr/>
          </w:pPr>
          <w:r>
            <w:rPr/>
            <w:t>Section 3.3</w:t>
            <w:tab/>
            <w:t>Assets</w:t>
            <w:tab/>
          </w:r>
          <w:hyperlink w:anchor="__RefHeading___Toc535051546">
            <w:r>
              <w:rPr>
                <w:rStyle w:val="IndexLink"/>
              </w:rPr>
              <w:t>22</w:t>
            </w:r>
          </w:hyperlink>
        </w:p>
        <w:p>
          <w:pPr>
            <w:pStyle w:val="TOC2"/>
            <w:rPr/>
          </w:pPr>
          <w:r>
            <w:rPr/>
            <w:t>Section 3.4</w:t>
            <w:tab/>
            <w:t>Absence of Certain Changes</w:t>
            <w:tab/>
          </w:r>
          <w:hyperlink w:anchor="__RefHeading___Toc535051547">
            <w:r>
              <w:rPr>
                <w:rStyle w:val="IndexLink"/>
              </w:rPr>
              <w:t>22</w:t>
            </w:r>
          </w:hyperlink>
        </w:p>
        <w:p>
          <w:pPr>
            <w:pStyle w:val="TOC2"/>
            <w:rPr/>
          </w:pPr>
          <w:r>
            <w:rPr/>
            <w:t>Section 3.5</w:t>
            <w:tab/>
            <w:t>Litigation; Orders</w:t>
            <w:tab/>
          </w:r>
          <w:hyperlink w:anchor="__RefHeading___Toc535051548">
            <w:r>
              <w:rPr>
                <w:rStyle w:val="IndexLink"/>
              </w:rPr>
              <w:t>23</w:t>
            </w:r>
          </w:hyperlink>
        </w:p>
        <w:p>
          <w:pPr>
            <w:pStyle w:val="TOC2"/>
            <w:rPr/>
          </w:pPr>
          <w:r>
            <w:rPr/>
            <w:t>Section 3.6</w:t>
            <w:tab/>
            <w:t>Business Intellectual Property</w:t>
            <w:tab/>
          </w:r>
          <w:hyperlink w:anchor="__RefHeading___Toc535051549">
            <w:r>
              <w:rPr>
                <w:rStyle w:val="IndexLink"/>
              </w:rPr>
              <w:t>23</w:t>
            </w:r>
          </w:hyperlink>
        </w:p>
        <w:p>
          <w:pPr>
            <w:pStyle w:val="TOC2"/>
            <w:rPr/>
          </w:pPr>
          <w:r>
            <w:rPr/>
            <w:t>Section 3.7</w:t>
            <w:tab/>
            <w:t>Permits, Approvals, Other Authorizations, Consents, Reports, Etc.</w:t>
            <w:tab/>
          </w:r>
          <w:hyperlink w:anchor="__RefHeading___Toc535051550">
            <w:r>
              <w:rPr>
                <w:rStyle w:val="IndexLink"/>
              </w:rPr>
              <w:t>25</w:t>
            </w:r>
          </w:hyperlink>
        </w:p>
        <w:p>
          <w:pPr>
            <w:pStyle w:val="TOC2"/>
            <w:rPr/>
          </w:pPr>
          <w:r>
            <w:rPr/>
            <w:t>Section 3.8</w:t>
            <w:tab/>
            <w:t>Labor Matters</w:t>
            <w:tab/>
          </w:r>
          <w:hyperlink w:anchor="__RefHeading___Toc535051551">
            <w:r>
              <w:rPr>
                <w:rStyle w:val="IndexLink"/>
              </w:rPr>
              <w:t>25</w:t>
            </w:r>
          </w:hyperlink>
        </w:p>
        <w:p>
          <w:pPr>
            <w:pStyle w:val="TOC2"/>
            <w:rPr/>
          </w:pPr>
          <w:r>
            <w:rPr/>
            <w:t>Section 3.9</w:t>
            <w:tab/>
            <w:t>Compliance with Laws</w:t>
            <w:tab/>
          </w:r>
          <w:hyperlink w:anchor="__RefHeading___Toc535051552">
            <w:r>
              <w:rPr>
                <w:rStyle w:val="IndexLink"/>
              </w:rPr>
              <w:t>25</w:t>
            </w:r>
          </w:hyperlink>
        </w:p>
        <w:p>
          <w:pPr>
            <w:pStyle w:val="TOC2"/>
            <w:rPr/>
          </w:pPr>
          <w:r>
            <w:rPr/>
            <w:t>Section 3.10</w:t>
            <w:tab/>
            <w:t>Contracts</w:t>
            <w:tab/>
          </w:r>
          <w:hyperlink w:anchor="__RefHeading___Toc535051553">
            <w:r>
              <w:rPr>
                <w:rStyle w:val="IndexLink"/>
              </w:rPr>
              <w:t>26</w:t>
            </w:r>
          </w:hyperlink>
        </w:p>
        <w:p>
          <w:pPr>
            <w:pStyle w:val="TOC2"/>
            <w:rPr/>
          </w:pPr>
          <w:r>
            <w:rPr/>
            <w:t>Section 3.11</w:t>
            <w:tab/>
            <w:t>Real Property</w:t>
            <w:tab/>
          </w:r>
          <w:hyperlink w:anchor="__RefHeading___Toc535051554">
            <w:r>
              <w:rPr>
                <w:rStyle w:val="IndexLink"/>
              </w:rPr>
              <w:t>27</w:t>
            </w:r>
          </w:hyperlink>
        </w:p>
        <w:p>
          <w:pPr>
            <w:pStyle w:val="TOC2"/>
            <w:rPr/>
          </w:pPr>
          <w:r>
            <w:rPr/>
            <w:t>Section 3.12</w:t>
            <w:tab/>
            <w:t>Employee Benefit Plans and Related Matters</w:t>
            <w:tab/>
          </w:r>
          <w:hyperlink w:anchor="__RefHeading___Toc535051555">
            <w:r>
              <w:rPr>
                <w:rStyle w:val="IndexLink"/>
              </w:rPr>
              <w:t>29</w:t>
            </w:r>
          </w:hyperlink>
        </w:p>
        <w:p>
          <w:pPr>
            <w:pStyle w:val="TOC2"/>
            <w:rPr/>
          </w:pPr>
          <w:r>
            <w:rPr/>
            <w:t>Section</w:t>
          </w:r>
          <w:r>
            <w:rPr>
              <w:b/>
            </w:rPr>
            <w:t xml:space="preserve"> </w:t>
          </w:r>
          <w:r>
            <w:rPr/>
            <w:t>3.13</w:t>
            <w:tab/>
            <w:t>Environmental and Safety Matters</w:t>
            <w:tab/>
          </w:r>
          <w:hyperlink w:anchor="__RefHeading___Toc535051556">
            <w:r>
              <w:rPr>
                <w:rStyle w:val="IndexLink"/>
              </w:rPr>
              <w:t>29</w:t>
            </w:r>
          </w:hyperlink>
        </w:p>
        <w:p>
          <w:pPr>
            <w:pStyle w:val="TOC2"/>
            <w:rPr/>
          </w:pPr>
          <w:r>
            <w:rPr/>
            <w:t>Section</w:t>
          </w:r>
          <w:r>
            <w:rPr>
              <w:b/>
            </w:rPr>
            <w:t xml:space="preserve"> </w:t>
          </w:r>
          <w:r>
            <w:rPr/>
            <w:t>3.14</w:t>
            <w:tab/>
            <w:t>Fees and Expenses</w:t>
            <w:tab/>
          </w:r>
          <w:hyperlink w:anchor="__RefHeading___Toc535051557">
            <w:r>
              <w:rPr>
                <w:rStyle w:val="IndexLink"/>
              </w:rPr>
              <w:t>30</w:t>
            </w:r>
          </w:hyperlink>
        </w:p>
        <w:p>
          <w:pPr>
            <w:pStyle w:val="TOC2"/>
            <w:rPr/>
          </w:pPr>
          <w:r>
            <w:rPr/>
            <w:t>Section</w:t>
          </w:r>
          <w:r>
            <w:rPr>
              <w:b/>
            </w:rPr>
            <w:t xml:space="preserve"> </w:t>
          </w:r>
          <w:r>
            <w:rPr/>
            <w:t>3.15</w:t>
            <w:tab/>
            <w:t>Interested Party Transactions</w:t>
            <w:tab/>
          </w:r>
          <w:hyperlink w:anchor="__RefHeading___Toc535051558">
            <w:r>
              <w:rPr>
                <w:rStyle w:val="IndexLink"/>
              </w:rPr>
              <w:t>30</w:t>
            </w:r>
          </w:hyperlink>
        </w:p>
        <w:p>
          <w:pPr>
            <w:pStyle w:val="TOC2"/>
            <w:rPr/>
          </w:pPr>
          <w:r>
            <w:rPr/>
            <w:t>Section</w:t>
          </w:r>
          <w:r>
            <w:rPr>
              <w:b/>
            </w:rPr>
            <w:t xml:space="preserve"> </w:t>
          </w:r>
          <w:r>
            <w:rPr/>
            <w:t>3.16</w:t>
            <w:tab/>
            <w:t>Board Approval and Recommendation</w:t>
            <w:tab/>
          </w:r>
          <w:hyperlink w:anchor="__RefHeading___Toc535051559">
            <w:r>
              <w:rPr>
                <w:rStyle w:val="IndexLink"/>
              </w:rPr>
              <w:t>30</w:t>
            </w:r>
          </w:hyperlink>
        </w:p>
        <w:p>
          <w:pPr>
            <w:pStyle w:val="TOC2"/>
            <w:rPr/>
          </w:pPr>
          <w:r>
            <w:rPr/>
            <w:t>Section</w:t>
          </w:r>
          <w:r>
            <w:rPr>
              <w:b/>
            </w:rPr>
            <w:t xml:space="preserve"> </w:t>
          </w:r>
          <w:r>
            <w:rPr/>
            <w:t>3.17</w:t>
            <w:tab/>
            <w:t>Disclosure</w:t>
            <w:tab/>
          </w:r>
          <w:hyperlink w:anchor="__RefHeading___Toc535051560">
            <w:r>
              <w:rPr>
                <w:rStyle w:val="IndexLink"/>
              </w:rPr>
              <w:t>30</w:t>
            </w:r>
          </w:hyperlink>
        </w:p>
        <w:p>
          <w:pPr>
            <w:pStyle w:val="TOC2"/>
            <w:rPr/>
          </w:pPr>
          <w:r>
            <w:rPr/>
            <w:t>Section</w:t>
          </w:r>
          <w:r>
            <w:rPr>
              <w:b/>
            </w:rPr>
            <w:t xml:space="preserve"> </w:t>
          </w:r>
          <w:r>
            <w:rPr/>
            <w:t>3.18</w:t>
            <w:tab/>
            <w:t>Operation of the Business</w:t>
            <w:tab/>
          </w:r>
          <w:hyperlink w:anchor="__RefHeading___Toc535051561">
            <w:r>
              <w:rPr>
                <w:rStyle w:val="IndexLink"/>
              </w:rPr>
              <w:t>30</w:t>
            </w:r>
          </w:hyperlink>
        </w:p>
        <w:p>
          <w:pPr>
            <w:pStyle w:val="TOC2"/>
            <w:rPr/>
          </w:pPr>
          <w:r>
            <w:rPr/>
            <w:t>Section</w:t>
          </w:r>
          <w:r>
            <w:rPr>
              <w:b/>
            </w:rPr>
            <w:t xml:space="preserve"> </w:t>
          </w:r>
          <w:r>
            <w:rPr/>
            <w:t>3.19</w:t>
            <w:tab/>
            <w:t>Scope of Canadian Assets</w:t>
            <w:tab/>
          </w:r>
          <w:hyperlink w:anchor="__RefHeading___Toc535051562">
            <w:r>
              <w:rPr>
                <w:rStyle w:val="IndexLink"/>
              </w:rPr>
              <w:t>31</w:t>
            </w:r>
          </w:hyperlink>
        </w:p>
        <w:p>
          <w:pPr>
            <w:pStyle w:val="TOC2"/>
            <w:rPr/>
          </w:pPr>
          <w:r>
            <w:rPr/>
            <w:t>Section</w:t>
          </w:r>
          <w:r>
            <w:rPr>
              <w:b/>
            </w:rPr>
            <w:t xml:space="preserve"> </w:t>
          </w:r>
          <w:r>
            <w:rPr/>
            <w:t>3.20</w:t>
            <w:tab/>
            <w:t>Intangible Property</w:t>
            <w:tab/>
          </w:r>
          <w:hyperlink w:anchor="__RefHeading___Toc535051563">
            <w:r>
              <w:rPr>
                <w:rStyle w:val="IndexLink"/>
              </w:rPr>
              <w:t>31</w:t>
            </w:r>
          </w:hyperlink>
        </w:p>
        <w:p>
          <w:pPr>
            <w:pStyle w:val="TOC2"/>
            <w:rPr/>
          </w:pPr>
          <w:r>
            <w:rPr/>
            <w:t>Section 3.21</w:t>
            <w:tab/>
            <w:t>Residence of Sellers</w:t>
            <w:tab/>
          </w:r>
          <w:hyperlink w:anchor="__RefHeading___Toc535051564">
            <w:r>
              <w:rPr>
                <w:rStyle w:val="IndexLink"/>
              </w:rPr>
              <w:t>31</w:t>
            </w:r>
          </w:hyperlink>
        </w:p>
        <w:p>
          <w:pPr>
            <w:pStyle w:val="TOC2"/>
            <w:rPr/>
          </w:pPr>
          <w:r>
            <w:rPr/>
            <w:t>Section 3.22</w:t>
            <w:tab/>
            <w:t>Confidentiality Agreements</w:t>
            <w:tab/>
          </w:r>
          <w:hyperlink w:anchor="__RefHeading___Toc535051565">
            <w:r>
              <w:rPr>
                <w:rStyle w:val="IndexLink"/>
              </w:rPr>
              <w:t>31</w:t>
            </w:r>
          </w:hyperlink>
        </w:p>
        <w:p>
          <w:pPr>
            <w:pStyle w:val="TOC1"/>
            <w:tabs>
              <w:tab w:val="clear" w:pos="720"/>
              <w:tab w:val="right" w:pos="9350" w:leader="dot"/>
            </w:tabs>
            <w:rPr/>
          </w:pPr>
          <w:r>
            <w:rPr/>
            <w:t>ARTICLE 4</w:t>
            <w:br/>
            <w:br/>
            <w:t>Representations and Warranties of Buyer</w:t>
          </w:r>
        </w:p>
        <w:p>
          <w:pPr>
            <w:pStyle w:val="TOC2"/>
            <w:rPr/>
          </w:pPr>
          <w:r>
            <w:rPr/>
            <w:t>Section 4.1</w:t>
            <w:tab/>
            <w:t>Incorporation; Authorization; Etc.</w:t>
            <w:tab/>
          </w:r>
          <w:hyperlink w:anchor="__RefHeading___Toc535051566">
            <w:r>
              <w:rPr>
                <w:rStyle w:val="IndexLink"/>
              </w:rPr>
              <w:t>31</w:t>
            </w:r>
          </w:hyperlink>
        </w:p>
        <w:p>
          <w:pPr>
            <w:pStyle w:val="TOC2"/>
            <w:rPr/>
          </w:pPr>
          <w:r>
            <w:rPr/>
            <w:t>Section 4.2</w:t>
            <w:tab/>
            <w:t>Brokers, Finders, Etc.</w:t>
            <w:tab/>
          </w:r>
          <w:hyperlink w:anchor="__RefHeading___Toc535051567">
            <w:r>
              <w:rPr>
                <w:rStyle w:val="IndexLink"/>
              </w:rPr>
              <w:t>32</w:t>
            </w:r>
          </w:hyperlink>
        </w:p>
        <w:p>
          <w:pPr>
            <w:pStyle w:val="TOC1"/>
            <w:tabs>
              <w:tab w:val="clear" w:pos="720"/>
              <w:tab w:val="right" w:pos="9350" w:leader="dot"/>
            </w:tabs>
            <w:rPr/>
          </w:pPr>
          <w:r>
            <w:rPr/>
            <w:t>ARTICLE 5</w:t>
            <w:br/>
            <w:br/>
            <w:t>Covenants of Sellers and Buyer</w:t>
          </w:r>
        </w:p>
        <w:p>
          <w:pPr>
            <w:pStyle w:val="TOC2"/>
            <w:rPr/>
          </w:pPr>
          <w:r>
            <w:rPr/>
            <w:t>Section 5.1</w:t>
            <w:tab/>
            <w:t>Conduct of Business</w:t>
            <w:tab/>
          </w:r>
          <w:hyperlink w:anchor="__RefHeading___Toc535051568">
            <w:r>
              <w:rPr>
                <w:rStyle w:val="IndexLink"/>
              </w:rPr>
              <w:t>32</w:t>
            </w:r>
          </w:hyperlink>
        </w:p>
        <w:p>
          <w:pPr>
            <w:pStyle w:val="TOC2"/>
            <w:rPr/>
          </w:pPr>
          <w:r>
            <w:rPr/>
            <w:t>Section 5.2</w:t>
            <w:tab/>
            <w:t>Access to Information</w:t>
            <w:tab/>
          </w:r>
          <w:hyperlink w:anchor="__RefHeading___Toc535051569">
            <w:r>
              <w:rPr>
                <w:rStyle w:val="IndexLink"/>
              </w:rPr>
              <w:t>33</w:t>
            </w:r>
          </w:hyperlink>
        </w:p>
        <w:p>
          <w:pPr>
            <w:pStyle w:val="TOC2"/>
            <w:rPr/>
          </w:pPr>
          <w:r>
            <w:rPr/>
            <w:t>Section 5.3</w:t>
            <w:tab/>
            <w:t>Regulatory Approvals; Reasonable Best Efforts; Notification; Consents</w:t>
            <w:tab/>
          </w:r>
          <w:hyperlink w:anchor="__RefHeading___Toc535051570">
            <w:r>
              <w:rPr>
                <w:rStyle w:val="IndexLink"/>
              </w:rPr>
              <w:t>34</w:t>
            </w:r>
          </w:hyperlink>
        </w:p>
        <w:p>
          <w:pPr>
            <w:pStyle w:val="TOC2"/>
            <w:rPr/>
          </w:pPr>
          <w:r>
            <w:rPr/>
            <w:t>Section 5.4</w:t>
            <w:tab/>
            <w:t>Bankruptcy Filings, Covenants and Agreements</w:t>
            <w:tab/>
          </w:r>
          <w:hyperlink w:anchor="__RefHeading___Toc535051571">
            <w:r>
              <w:rPr>
                <w:rStyle w:val="IndexLink"/>
              </w:rPr>
              <w:t>36</w:t>
            </w:r>
          </w:hyperlink>
        </w:p>
        <w:p>
          <w:pPr>
            <w:pStyle w:val="TOC2"/>
            <w:rPr/>
          </w:pPr>
          <w:r>
            <w:rPr/>
            <w:t>Section 5.5</w:t>
            <w:tab/>
            <w:t>Public Announcements</w:t>
            <w:tab/>
          </w:r>
          <w:hyperlink w:anchor="__RefHeading___Toc535051572">
            <w:r>
              <w:rPr>
                <w:rStyle w:val="IndexLink"/>
              </w:rPr>
              <w:t>36</w:t>
            </w:r>
          </w:hyperlink>
        </w:p>
        <w:p>
          <w:pPr>
            <w:pStyle w:val="TOC2"/>
            <w:rPr/>
          </w:pPr>
          <w:r>
            <w:rPr/>
            <w:t>Section 5.6</w:t>
            <w:tab/>
            <w:t>Further Assurances</w:t>
            <w:tab/>
          </w:r>
          <w:hyperlink w:anchor="__RefHeading___Toc535051573">
            <w:r>
              <w:rPr>
                <w:rStyle w:val="IndexLink"/>
              </w:rPr>
              <w:t>36</w:t>
            </w:r>
          </w:hyperlink>
        </w:p>
        <w:p>
          <w:pPr>
            <w:pStyle w:val="TOC2"/>
            <w:rPr/>
          </w:pPr>
          <w:r>
            <w:rPr/>
            <w:t>Section 5.7</w:t>
            <w:tab/>
            <w:t>Ancillary Agreements</w:t>
            <w:tab/>
          </w:r>
          <w:hyperlink w:anchor="__RefHeading___Toc535051574">
            <w:r>
              <w:rPr>
                <w:rStyle w:val="IndexLink"/>
              </w:rPr>
              <w:t>37</w:t>
            </w:r>
          </w:hyperlink>
        </w:p>
        <w:p>
          <w:pPr>
            <w:pStyle w:val="TOC2"/>
            <w:rPr/>
          </w:pPr>
          <w:r>
            <w:rPr/>
            <w:t>Section 5.8</w:t>
            <w:tab/>
            <w:t>Non-Competition; Non-Solicitation</w:t>
            <w:tab/>
          </w:r>
          <w:hyperlink w:anchor="__RefHeading___Toc535051575">
            <w:r>
              <w:rPr>
                <w:rStyle w:val="IndexLink"/>
              </w:rPr>
              <w:t>37</w:t>
            </w:r>
          </w:hyperlink>
        </w:p>
        <w:p>
          <w:pPr>
            <w:pStyle w:val="TOC2"/>
            <w:rPr/>
          </w:pPr>
          <w:r>
            <w:rPr/>
            <w:t>Section 5.9</w:t>
            <w:tab/>
            <w:t>Confidentiality</w:t>
            <w:tab/>
          </w:r>
          <w:hyperlink w:anchor="__RefHeading___Toc535051576">
            <w:r>
              <w:rPr>
                <w:rStyle w:val="IndexLink"/>
              </w:rPr>
              <w:t>38</w:t>
            </w:r>
          </w:hyperlink>
        </w:p>
        <w:p>
          <w:pPr>
            <w:pStyle w:val="TOC2"/>
            <w:rPr/>
          </w:pPr>
          <w:r>
            <w:rPr/>
            <w:t>Section 5.10</w:t>
            <w:tab/>
            <w:t>Harmful Codes</w:t>
            <w:tab/>
          </w:r>
          <w:hyperlink w:anchor="__RefHeading___Toc535051577">
            <w:r>
              <w:rPr>
                <w:rStyle w:val="IndexLink"/>
              </w:rPr>
              <w:t>39</w:t>
            </w:r>
          </w:hyperlink>
        </w:p>
        <w:p>
          <w:pPr>
            <w:pStyle w:val="TOC2"/>
            <w:rPr/>
          </w:pPr>
          <w:r>
            <w:rPr/>
            <w:t>Section 5.11</w:t>
            <w:tab/>
            <w:t>Reporting Company Status</w:t>
            <w:tab/>
          </w:r>
          <w:hyperlink w:anchor="__RefHeading___Toc535051578">
            <w:r>
              <w:rPr>
                <w:rStyle w:val="IndexLink"/>
              </w:rPr>
              <w:t>40</w:t>
            </w:r>
          </w:hyperlink>
        </w:p>
        <w:p>
          <w:pPr>
            <w:pStyle w:val="TOC2"/>
            <w:rPr/>
          </w:pPr>
          <w:r>
            <w:rPr/>
            <w:t>Section 5.12</w:t>
            <w:tab/>
            <w:t>Access to Customer Lists</w:t>
            <w:tab/>
          </w:r>
          <w:hyperlink w:anchor="__RefHeading___Toc535051579">
            <w:r>
              <w:rPr>
                <w:rStyle w:val="IndexLink"/>
              </w:rPr>
              <w:t>40</w:t>
            </w:r>
          </w:hyperlink>
        </w:p>
        <w:p>
          <w:pPr>
            <w:pStyle w:val="TOC2"/>
            <w:rPr/>
          </w:pPr>
          <w:r>
            <w:rPr/>
            <w:t>Section 5.13</w:t>
            <w:tab/>
            <w:t>Non-Competition Agreements</w:t>
            <w:tab/>
          </w:r>
          <w:hyperlink w:anchor="__RefHeading___Toc535051580">
            <w:r>
              <w:rPr>
                <w:rStyle w:val="IndexLink"/>
              </w:rPr>
              <w:t>40</w:t>
            </w:r>
          </w:hyperlink>
        </w:p>
        <w:p>
          <w:pPr>
            <w:pStyle w:val="TOC2"/>
            <w:rPr/>
          </w:pPr>
          <w:r>
            <w:rPr/>
            <w:t>Section 5.14</w:t>
            <w:tab/>
            <w:t>Use of Proceeds</w:t>
            <w:tab/>
          </w:r>
          <w:hyperlink w:anchor="__RefHeading___Toc535051581">
            <w:r>
              <w:rPr>
                <w:rStyle w:val="IndexLink"/>
              </w:rPr>
              <w:t>40</w:t>
            </w:r>
          </w:hyperlink>
        </w:p>
        <w:p>
          <w:pPr>
            <w:pStyle w:val="TOC2"/>
            <w:rPr/>
          </w:pPr>
          <w:r>
            <w:rPr/>
            <w:t>Section 5.15</w:t>
            <w:tab/>
            <w:t>Canadian Assets</w:t>
            <w:tab/>
          </w:r>
          <w:hyperlink w:anchor="__RefHeading___Toc535051582">
            <w:r>
              <w:rPr>
                <w:rStyle w:val="IndexLink"/>
              </w:rPr>
              <w:t>40</w:t>
            </w:r>
          </w:hyperlink>
        </w:p>
        <w:p>
          <w:pPr>
            <w:pStyle w:val="TOC2"/>
            <w:rPr/>
          </w:pPr>
          <w:r>
            <w:rPr/>
            <w:t>Section 5.16</w:t>
            <w:tab/>
            <w:t>No Partnership</w:t>
            <w:tab/>
          </w:r>
          <w:hyperlink w:anchor="__RefHeading___Toc535051583">
            <w:r>
              <w:rPr>
                <w:rStyle w:val="IndexLink"/>
              </w:rPr>
              <w:t>41</w:t>
            </w:r>
          </w:hyperlink>
        </w:p>
        <w:p>
          <w:pPr>
            <w:pStyle w:val="TOC2"/>
            <w:rPr/>
          </w:pPr>
          <w:r>
            <w:rPr/>
            <w:t>Section 5.17</w:t>
            <w:tab/>
            <w:t>Parent’s Covenants</w:t>
            <w:tab/>
          </w:r>
          <w:hyperlink w:anchor="__RefHeading___Toc535051584">
            <w:r>
              <w:rPr>
                <w:rStyle w:val="IndexLink"/>
              </w:rPr>
              <w:t>41</w:t>
            </w:r>
          </w:hyperlink>
        </w:p>
        <w:p>
          <w:pPr>
            <w:pStyle w:val="TOC2"/>
            <w:rPr/>
          </w:pPr>
          <w:r>
            <w:rPr/>
            <w:t>Section 5.18</w:t>
            <w:tab/>
            <w:t>Sellers’ Acknowledgment of Nature of Relationship</w:t>
            <w:tab/>
          </w:r>
          <w:hyperlink w:anchor="__RefHeading___Toc535051585">
            <w:r>
              <w:rPr>
                <w:rStyle w:val="IndexLink"/>
              </w:rPr>
              <w:t>42</w:t>
            </w:r>
          </w:hyperlink>
        </w:p>
        <w:p>
          <w:pPr>
            <w:pStyle w:val="TOC2"/>
            <w:rPr/>
          </w:pPr>
          <w:r>
            <w:rPr/>
            <w:t>Section 5.19</w:t>
            <w:tab/>
            <w:t>Certain Licenses</w:t>
            <w:tab/>
          </w:r>
          <w:hyperlink w:anchor="__RefHeading___Toc535051586">
            <w:r>
              <w:rPr>
                <w:rStyle w:val="IndexLink"/>
              </w:rPr>
              <w:t>43</w:t>
            </w:r>
          </w:hyperlink>
        </w:p>
        <w:p>
          <w:pPr>
            <w:pStyle w:val="TOC1"/>
            <w:tabs>
              <w:tab w:val="clear" w:pos="720"/>
              <w:tab w:val="right" w:pos="9350" w:leader="dot"/>
            </w:tabs>
            <w:rPr/>
          </w:pPr>
          <w:r>
            <w:rPr/>
            <w:t>ARTICLE 6</w:t>
            <w:br/>
            <w:br/>
            <w:t>Employers and Employee Benefits</w:t>
          </w:r>
        </w:p>
        <w:p>
          <w:pPr>
            <w:pStyle w:val="TOC2"/>
            <w:rPr/>
          </w:pPr>
          <w:r>
            <w:rPr/>
            <w:t>Section 6.1</w:t>
            <w:tab/>
            <w:t>Employment of Sellers’ Employees</w:t>
            <w:tab/>
          </w:r>
          <w:hyperlink w:anchor="__RefHeading___Toc535051587">
            <w:r>
              <w:rPr>
                <w:rStyle w:val="IndexLink"/>
              </w:rPr>
              <w:t>43</w:t>
            </w:r>
          </w:hyperlink>
        </w:p>
        <w:p>
          <w:pPr>
            <w:pStyle w:val="TOC2"/>
            <w:rPr/>
          </w:pPr>
          <w:r>
            <w:rPr/>
            <w:t>Section 6.2</w:t>
            <w:tab/>
            <w:t>Bonus Payments</w:t>
            <w:tab/>
          </w:r>
          <w:hyperlink w:anchor="__RefHeading___Toc535051588">
            <w:r>
              <w:rPr>
                <w:rStyle w:val="IndexLink"/>
              </w:rPr>
              <w:t>44</w:t>
            </w:r>
          </w:hyperlink>
        </w:p>
        <w:p>
          <w:pPr>
            <w:pStyle w:val="TOC2"/>
            <w:rPr/>
          </w:pPr>
          <w:r>
            <w:rPr/>
            <w:t>Section 6.3</w:t>
            <w:tab/>
            <w:t>Training</w:t>
            <w:tab/>
          </w:r>
          <w:hyperlink w:anchor="__RefHeading___Toc535051589">
            <w:r>
              <w:rPr>
                <w:rStyle w:val="IndexLink"/>
              </w:rPr>
              <w:t>44</w:t>
            </w:r>
          </w:hyperlink>
        </w:p>
        <w:p>
          <w:pPr>
            <w:pStyle w:val="TOC2"/>
            <w:rPr/>
          </w:pPr>
          <w:r>
            <w:rPr/>
            <w:t>Section 6.4</w:t>
            <w:tab/>
            <w:t>Reservation of Rights</w:t>
            <w:tab/>
          </w:r>
          <w:hyperlink w:anchor="__RefHeading___Toc535051590">
            <w:r>
              <w:rPr>
                <w:rStyle w:val="IndexLink"/>
              </w:rPr>
              <w:t>44</w:t>
            </w:r>
          </w:hyperlink>
        </w:p>
        <w:p>
          <w:pPr>
            <w:pStyle w:val="TOC2"/>
            <w:rPr/>
          </w:pPr>
          <w:r>
            <w:rPr/>
            <w:t>Section 6.5</w:t>
            <w:tab/>
            <w:t>Liabilities; Indemnification</w:t>
            <w:tab/>
          </w:r>
          <w:hyperlink w:anchor="__RefHeading___Toc535051591">
            <w:r>
              <w:rPr>
                <w:rStyle w:val="IndexLink"/>
              </w:rPr>
              <w:t>44</w:t>
            </w:r>
          </w:hyperlink>
        </w:p>
        <w:p>
          <w:pPr>
            <w:pStyle w:val="TOC1"/>
            <w:tabs>
              <w:tab w:val="clear" w:pos="720"/>
              <w:tab w:val="right" w:pos="9350" w:leader="dot"/>
            </w:tabs>
            <w:rPr/>
          </w:pPr>
          <w:r>
            <w:rPr/>
            <w:t>ARTICLE 7</w:t>
            <w:br/>
            <w:br/>
            <w:t>Tax Matters</w:t>
          </w:r>
        </w:p>
        <w:p>
          <w:pPr>
            <w:pStyle w:val="TOC2"/>
            <w:rPr/>
          </w:pPr>
          <w:r>
            <w:rPr/>
            <w:t>Section 7.1</w:t>
            <w:tab/>
            <w:t>Tax Representations</w:t>
            <w:tab/>
          </w:r>
          <w:hyperlink w:anchor="__RefHeading___Toc535051592">
            <w:r>
              <w:rPr>
                <w:rStyle w:val="IndexLink"/>
              </w:rPr>
              <w:t>45</w:t>
            </w:r>
          </w:hyperlink>
        </w:p>
        <w:p>
          <w:pPr>
            <w:pStyle w:val="TOC2"/>
            <w:rPr/>
          </w:pPr>
          <w:r>
            <w:rPr/>
            <w:t>Section 7.2</w:t>
            <w:tab/>
            <w:t>Tax Matters</w:t>
            <w:tab/>
          </w:r>
          <w:hyperlink w:anchor="__RefHeading___Toc535051593">
            <w:r>
              <w:rPr>
                <w:rStyle w:val="IndexLink"/>
              </w:rPr>
              <w:t>45</w:t>
            </w:r>
          </w:hyperlink>
        </w:p>
        <w:p>
          <w:pPr>
            <w:pStyle w:val="TOC2"/>
            <w:rPr/>
          </w:pPr>
          <w:r>
            <w:rPr/>
            <w:t>Section 7.3</w:t>
            <w:tab/>
            <w:t>Canadian Tax Matters</w:t>
            <w:tab/>
          </w:r>
          <w:hyperlink w:anchor="__RefHeading___Toc535051594">
            <w:r>
              <w:rPr>
                <w:rStyle w:val="IndexLink"/>
              </w:rPr>
              <w:t>46</w:t>
            </w:r>
          </w:hyperlink>
        </w:p>
        <w:p>
          <w:pPr>
            <w:pStyle w:val="TOC1"/>
            <w:tabs>
              <w:tab w:val="clear" w:pos="720"/>
              <w:tab w:val="right" w:pos="9350" w:leader="dot"/>
            </w:tabs>
            <w:rPr/>
          </w:pPr>
          <w:r>
            <w:rPr/>
            <w:t>ARTICLE 8</w:t>
            <w:br/>
            <w:br/>
            <w:t>Conditions of Buyer’s Obligation to Close</w:t>
          </w:r>
        </w:p>
        <w:p>
          <w:pPr>
            <w:pStyle w:val="TOC2"/>
            <w:rPr/>
          </w:pPr>
          <w:r>
            <w:rPr/>
            <w:t>Section 8.1</w:t>
            <w:tab/>
            <w:t>Representations, Warranties and Covenants of Sellers</w:t>
            <w:tab/>
          </w:r>
          <w:hyperlink w:anchor="__RefHeading___Toc535051595">
            <w:r>
              <w:rPr>
                <w:rStyle w:val="IndexLink"/>
              </w:rPr>
              <w:t>47</w:t>
            </w:r>
          </w:hyperlink>
        </w:p>
        <w:p>
          <w:pPr>
            <w:pStyle w:val="TOC2"/>
            <w:rPr/>
          </w:pPr>
          <w:r>
            <w:rPr/>
            <w:t>Section 8.2</w:t>
            <w:tab/>
            <w:t>Consents; Waiting Periods</w:t>
            <w:tab/>
          </w:r>
          <w:hyperlink w:anchor="__RefHeading___Toc535051596">
            <w:r>
              <w:rPr>
                <w:rStyle w:val="IndexLink"/>
              </w:rPr>
              <w:t>47</w:t>
            </w:r>
          </w:hyperlink>
        </w:p>
        <w:p>
          <w:pPr>
            <w:pStyle w:val="TOC2"/>
            <w:rPr/>
          </w:pPr>
          <w:r>
            <w:rPr/>
            <w:t>Section 8.3</w:t>
            <w:tab/>
            <w:t>No Injunction</w:t>
            <w:tab/>
          </w:r>
          <w:hyperlink w:anchor="__RefHeading___Toc535051597">
            <w:r>
              <w:rPr>
                <w:rStyle w:val="IndexLink"/>
              </w:rPr>
              <w:t>47</w:t>
            </w:r>
          </w:hyperlink>
        </w:p>
        <w:p>
          <w:pPr>
            <w:pStyle w:val="TOC2"/>
            <w:rPr/>
          </w:pPr>
          <w:r>
            <w:rPr/>
            <w:t>Section 8.4</w:t>
            <w:tab/>
            <w:t>Bankruptcy Court Related Conditions</w:t>
            <w:tab/>
          </w:r>
          <w:hyperlink w:anchor="__RefHeading___Toc535051598">
            <w:r>
              <w:rPr>
                <w:rStyle w:val="IndexLink"/>
              </w:rPr>
              <w:t>47</w:t>
            </w:r>
          </w:hyperlink>
        </w:p>
        <w:p>
          <w:pPr>
            <w:pStyle w:val="TOC2"/>
            <w:rPr/>
          </w:pPr>
          <w:r>
            <w:rPr/>
            <w:t>Section 8.5</w:t>
            <w:tab/>
            <w:t>Employees</w:t>
            <w:tab/>
          </w:r>
          <w:hyperlink w:anchor="__RefHeading___Toc535051599">
            <w:r>
              <w:rPr>
                <w:rStyle w:val="IndexLink"/>
              </w:rPr>
              <w:t>48</w:t>
            </w:r>
          </w:hyperlink>
        </w:p>
        <w:p>
          <w:pPr>
            <w:pStyle w:val="TOC2"/>
            <w:rPr/>
          </w:pPr>
          <w:r>
            <w:rPr/>
            <w:t>Section 8.6</w:t>
            <w:tab/>
            <w:t>Cure of Defaults</w:t>
            <w:tab/>
          </w:r>
          <w:hyperlink w:anchor="__RefHeading___Toc535051600">
            <w:r>
              <w:rPr>
                <w:rStyle w:val="IndexLink"/>
              </w:rPr>
              <w:t>48</w:t>
            </w:r>
          </w:hyperlink>
        </w:p>
        <w:p>
          <w:pPr>
            <w:pStyle w:val="TOC2"/>
            <w:rPr/>
          </w:pPr>
          <w:r>
            <w:rPr/>
            <w:t>Section 8.7</w:t>
            <w:tab/>
            <w:t>Related Agreements</w:t>
            <w:tab/>
          </w:r>
          <w:hyperlink w:anchor="__RefHeading___Toc535051601">
            <w:r>
              <w:rPr>
                <w:rStyle w:val="IndexLink"/>
              </w:rPr>
              <w:t>48</w:t>
            </w:r>
          </w:hyperlink>
        </w:p>
        <w:p>
          <w:pPr>
            <w:pStyle w:val="TOC1"/>
            <w:tabs>
              <w:tab w:val="clear" w:pos="720"/>
              <w:tab w:val="right" w:pos="9350" w:leader="dot"/>
            </w:tabs>
            <w:rPr/>
          </w:pPr>
          <w:r>
            <w:rPr/>
            <w:t>ARTICLE 9</w:t>
            <w:br/>
            <w:br/>
            <w:t>Conditions of Sellers’ Obligation to Close</w:t>
          </w:r>
        </w:p>
        <w:p>
          <w:pPr>
            <w:pStyle w:val="TOC2"/>
            <w:rPr/>
          </w:pPr>
          <w:r>
            <w:rPr/>
            <w:t>Section 9.1</w:t>
            <w:tab/>
            <w:t>Representations, Warranties and Covenants of Buyer</w:t>
            <w:tab/>
          </w:r>
          <w:hyperlink w:anchor="__RefHeading___Toc535051602">
            <w:r>
              <w:rPr>
                <w:rStyle w:val="IndexLink"/>
              </w:rPr>
              <w:t>48</w:t>
            </w:r>
          </w:hyperlink>
        </w:p>
        <w:p>
          <w:pPr>
            <w:pStyle w:val="TOC2"/>
            <w:rPr/>
          </w:pPr>
          <w:r>
            <w:rPr/>
            <w:t>Section 9.2</w:t>
            <w:tab/>
            <w:t>No Injunction</w:t>
            <w:tab/>
          </w:r>
          <w:hyperlink w:anchor="__RefHeading___Toc535051603">
            <w:r>
              <w:rPr>
                <w:rStyle w:val="IndexLink"/>
              </w:rPr>
              <w:t>48</w:t>
            </w:r>
          </w:hyperlink>
        </w:p>
        <w:p>
          <w:pPr>
            <w:pStyle w:val="TOC2"/>
            <w:rPr/>
          </w:pPr>
          <w:r>
            <w:rPr/>
            <w:t>Section 9.3</w:t>
            <w:tab/>
            <w:t>Bankruptcy Court Approval</w:t>
            <w:tab/>
          </w:r>
          <w:hyperlink w:anchor="__RefHeading___Toc535051604">
            <w:r>
              <w:rPr>
                <w:rStyle w:val="IndexLink"/>
              </w:rPr>
              <w:t>49</w:t>
            </w:r>
          </w:hyperlink>
        </w:p>
        <w:p>
          <w:pPr>
            <w:pStyle w:val="TOC2"/>
            <w:rPr/>
          </w:pPr>
          <w:r>
            <w:rPr/>
            <w:t>Section 9.4</w:t>
            <w:tab/>
            <w:t>Related Agreements</w:t>
            <w:tab/>
          </w:r>
          <w:hyperlink w:anchor="__RefHeading___Toc535051605">
            <w:r>
              <w:rPr>
                <w:rStyle w:val="IndexLink"/>
              </w:rPr>
              <w:t>49</w:t>
            </w:r>
          </w:hyperlink>
        </w:p>
        <w:p>
          <w:pPr>
            <w:pStyle w:val="TOC1"/>
            <w:tabs>
              <w:tab w:val="clear" w:pos="720"/>
              <w:tab w:val="right" w:pos="9350" w:leader="dot"/>
            </w:tabs>
            <w:rPr/>
          </w:pPr>
          <w:r>
            <w:rPr/>
            <w:t>ARTICLE 10</w:t>
            <w:br/>
            <w:br/>
            <w:t>Survival; Indemnification</w:t>
          </w:r>
        </w:p>
        <w:p>
          <w:pPr>
            <w:pStyle w:val="TOC2"/>
            <w:rPr/>
          </w:pPr>
          <w:r>
            <w:rPr/>
            <w:t>Section 10.1</w:t>
            <w:tab/>
            <w:t>Indemnification by Sellers</w:t>
            <w:tab/>
          </w:r>
          <w:hyperlink w:anchor="__RefHeading___Toc535051606">
            <w:r>
              <w:rPr>
                <w:rStyle w:val="IndexLink"/>
              </w:rPr>
              <w:t>49</w:t>
            </w:r>
          </w:hyperlink>
        </w:p>
        <w:p>
          <w:pPr>
            <w:pStyle w:val="TOC2"/>
            <w:rPr/>
          </w:pPr>
          <w:r>
            <w:rPr/>
            <w:t>Section 10.2</w:t>
            <w:tab/>
            <w:t>Indemnification by Buyer</w:t>
            <w:tab/>
          </w:r>
          <w:hyperlink w:anchor="__RefHeading___Toc535051607">
            <w:r>
              <w:rPr>
                <w:rStyle w:val="IndexLink"/>
              </w:rPr>
              <w:t>50</w:t>
            </w:r>
          </w:hyperlink>
        </w:p>
        <w:p>
          <w:pPr>
            <w:pStyle w:val="TOC2"/>
            <w:rPr/>
          </w:pPr>
          <w:r>
            <w:rPr/>
            <w:t>Section 10.3</w:t>
            <w:tab/>
            <w:t>Losses Net of Insurance, Etc.</w:t>
            <w:tab/>
          </w:r>
          <w:hyperlink w:anchor="__RefHeading___Toc535051608">
            <w:r>
              <w:rPr>
                <w:rStyle w:val="IndexLink"/>
              </w:rPr>
              <w:t>50</w:t>
            </w:r>
          </w:hyperlink>
        </w:p>
        <w:p>
          <w:pPr>
            <w:pStyle w:val="TOC2"/>
            <w:rPr/>
          </w:pPr>
          <w:r>
            <w:rPr/>
            <w:t>Section 10.4</w:t>
            <w:tab/>
            <w:t>Termination of Indemnification</w:t>
            <w:tab/>
          </w:r>
          <w:hyperlink w:anchor="__RefHeading___Toc535051609">
            <w:r>
              <w:rPr>
                <w:rStyle w:val="IndexLink"/>
              </w:rPr>
              <w:t>50</w:t>
            </w:r>
          </w:hyperlink>
        </w:p>
        <w:p>
          <w:pPr>
            <w:pStyle w:val="TOC2"/>
            <w:rPr/>
          </w:pPr>
          <w:r>
            <w:rPr/>
            <w:t>Section 10.5</w:t>
            <w:tab/>
            <w:t>Exclusive Remedy</w:t>
            <w:tab/>
          </w:r>
          <w:hyperlink w:anchor="__RefHeading___Toc535051610">
            <w:r>
              <w:rPr>
                <w:rStyle w:val="IndexLink"/>
              </w:rPr>
              <w:t>51</w:t>
            </w:r>
          </w:hyperlink>
        </w:p>
        <w:p>
          <w:pPr>
            <w:pStyle w:val="TOC2"/>
            <w:rPr/>
          </w:pPr>
          <w:r>
            <w:rPr/>
            <w:t>Section 10.6</w:t>
            <w:tab/>
            <w:t>Indemnification Procedures</w:t>
            <w:tab/>
          </w:r>
          <w:hyperlink w:anchor="__RefHeading___Toc535051611">
            <w:r>
              <w:rPr>
                <w:rStyle w:val="IndexLink"/>
              </w:rPr>
              <w:t>51</w:t>
            </w:r>
          </w:hyperlink>
        </w:p>
        <w:p>
          <w:pPr>
            <w:pStyle w:val="TOC1"/>
            <w:tabs>
              <w:tab w:val="clear" w:pos="720"/>
              <w:tab w:val="right" w:pos="9350" w:leader="dot"/>
            </w:tabs>
            <w:rPr/>
          </w:pPr>
          <w:r>
            <w:rPr/>
            <w:t>ARTICLE 11</w:t>
            <w:br/>
            <w:br/>
            <w:t>Deliveries at Closing</w:t>
          </w:r>
        </w:p>
        <w:p>
          <w:pPr>
            <w:pStyle w:val="TOC2"/>
            <w:rPr/>
          </w:pPr>
          <w:r>
            <w:rPr/>
            <w:t>Section 11.1</w:t>
            <w:tab/>
            <w:t>Sellers’ Deliveries at Closing</w:t>
            <w:tab/>
          </w:r>
          <w:hyperlink w:anchor="__RefHeading___Toc535051612">
            <w:r>
              <w:rPr>
                <w:rStyle w:val="IndexLink"/>
              </w:rPr>
              <w:t>52</w:t>
            </w:r>
          </w:hyperlink>
        </w:p>
        <w:p>
          <w:pPr>
            <w:pStyle w:val="TOC2"/>
            <w:rPr/>
          </w:pPr>
          <w:r>
            <w:rPr/>
            <w:t>Section 11.2</w:t>
            <w:tab/>
            <w:t>Buyer’s Deliveries at Closing</w:t>
            <w:tab/>
          </w:r>
          <w:hyperlink w:anchor="__RefHeading___Toc535051613">
            <w:r>
              <w:rPr>
                <w:rStyle w:val="IndexLink"/>
              </w:rPr>
              <w:t>53</w:t>
            </w:r>
          </w:hyperlink>
        </w:p>
        <w:p>
          <w:pPr>
            <w:pStyle w:val="TOC2"/>
            <w:rPr/>
          </w:pPr>
          <w:r>
            <w:rPr/>
            <w:t>Section 11.3</w:t>
            <w:tab/>
            <w:t>Required Documents</w:t>
            <w:tab/>
          </w:r>
          <w:hyperlink w:anchor="__RefHeading___Toc535051614">
            <w:r>
              <w:rPr>
                <w:rStyle w:val="IndexLink"/>
              </w:rPr>
              <w:t>54</w:t>
            </w:r>
          </w:hyperlink>
        </w:p>
        <w:p>
          <w:pPr>
            <w:pStyle w:val="TOC1"/>
            <w:tabs>
              <w:tab w:val="clear" w:pos="720"/>
              <w:tab w:val="right" w:pos="9350" w:leader="dot"/>
            </w:tabs>
            <w:rPr/>
          </w:pPr>
          <w:r>
            <w:rPr/>
            <w:t>ARTICLE 12</w:t>
            <w:br/>
            <w:br/>
            <w:t>Termination</w:t>
          </w:r>
        </w:p>
        <w:p>
          <w:pPr>
            <w:pStyle w:val="TOC2"/>
            <w:rPr/>
          </w:pPr>
          <w:r>
            <w:rPr/>
            <w:t>Section 12.1</w:t>
            <w:tab/>
            <w:t>Termination</w:t>
            <w:tab/>
          </w:r>
          <w:hyperlink w:anchor="__RefHeading___Toc535051615">
            <w:r>
              <w:rPr>
                <w:rStyle w:val="IndexLink"/>
              </w:rPr>
              <w:t>54</w:t>
            </w:r>
          </w:hyperlink>
        </w:p>
        <w:p>
          <w:pPr>
            <w:pStyle w:val="TOC2"/>
            <w:rPr/>
          </w:pPr>
          <w:r>
            <w:rPr/>
            <w:t>Section 12.2</w:t>
            <w:tab/>
            <w:t>Procedure and Effect of Termination</w:t>
            <w:tab/>
          </w:r>
          <w:hyperlink w:anchor="__RefHeading___Toc535051616">
            <w:r>
              <w:rPr>
                <w:rStyle w:val="IndexLink"/>
              </w:rPr>
              <w:t>55</w:t>
            </w:r>
          </w:hyperlink>
        </w:p>
        <w:p>
          <w:pPr>
            <w:pStyle w:val="TOC1"/>
            <w:tabs>
              <w:tab w:val="clear" w:pos="720"/>
              <w:tab w:val="right" w:pos="9350" w:leader="dot"/>
            </w:tabs>
            <w:rPr/>
          </w:pPr>
          <w:r>
            <w:rPr/>
            <w:t>ARTICLE 13</w:t>
            <w:br/>
            <w:br/>
            <w:t>Miscellaneous</w:t>
          </w:r>
        </w:p>
        <w:p>
          <w:pPr>
            <w:pStyle w:val="TOC2"/>
            <w:rPr/>
          </w:pPr>
          <w:r>
            <w:rPr/>
            <w:t>Section 13.1</w:t>
            <w:tab/>
            <w:t>Survival of Representations and Warranties, Etc.</w:t>
            <w:tab/>
          </w:r>
          <w:hyperlink w:anchor="__RefHeading___Toc535051617">
            <w:r>
              <w:rPr>
                <w:rStyle w:val="IndexLink"/>
              </w:rPr>
              <w:t>55</w:t>
            </w:r>
          </w:hyperlink>
        </w:p>
        <w:p>
          <w:pPr>
            <w:pStyle w:val="TOC2"/>
            <w:rPr/>
          </w:pPr>
          <w:r>
            <w:rPr/>
            <w:t>Section 13.2</w:t>
            <w:tab/>
            <w:t>Survival of Covenants</w:t>
            <w:tab/>
          </w:r>
          <w:hyperlink w:anchor="__RefHeading___Toc535051618">
            <w:r>
              <w:rPr>
                <w:rStyle w:val="IndexLink"/>
              </w:rPr>
              <w:t>55</w:t>
            </w:r>
          </w:hyperlink>
        </w:p>
        <w:p>
          <w:pPr>
            <w:pStyle w:val="TOC2"/>
            <w:rPr/>
          </w:pPr>
          <w:r>
            <w:rPr/>
            <w:t>Section 13.4</w:t>
            <w:tab/>
            <w:t>Bankruptcy Court Approval</w:t>
            <w:tab/>
          </w:r>
          <w:hyperlink w:anchor="__RefHeading___Toc535051619">
            <w:r>
              <w:rPr>
                <w:rStyle w:val="IndexLink"/>
              </w:rPr>
              <w:t>56</w:t>
            </w:r>
          </w:hyperlink>
        </w:p>
        <w:p>
          <w:pPr>
            <w:pStyle w:val="TOC2"/>
            <w:rPr/>
          </w:pPr>
          <w:r>
            <w:rPr/>
            <w:t>Section 13.4</w:t>
            <w:tab/>
            <w:t>Company as Agent and Representative</w:t>
            <w:tab/>
          </w:r>
          <w:hyperlink w:anchor="__RefHeading___Toc535051620">
            <w:r>
              <w:rPr>
                <w:rStyle w:val="IndexLink"/>
              </w:rPr>
              <w:t>56</w:t>
            </w:r>
          </w:hyperlink>
        </w:p>
        <w:p>
          <w:pPr>
            <w:pStyle w:val="TOC2"/>
            <w:rPr/>
          </w:pPr>
          <w:r>
            <w:rPr/>
            <w:t>Section 13.5</w:t>
            <w:tab/>
            <w:t>Notices</w:t>
            <w:tab/>
          </w:r>
          <w:hyperlink w:anchor="__RefHeading___Toc535051621">
            <w:r>
              <w:rPr>
                <w:rStyle w:val="IndexLink"/>
              </w:rPr>
              <w:t>56</w:t>
            </w:r>
          </w:hyperlink>
        </w:p>
        <w:p>
          <w:pPr>
            <w:pStyle w:val="TOC2"/>
            <w:rPr/>
          </w:pPr>
          <w:r>
            <w:rPr/>
            <w:t>Section 13.6</w:t>
            <w:tab/>
            <w:t>Amendments; No Waivers</w:t>
            <w:tab/>
          </w:r>
          <w:hyperlink w:anchor="__RefHeading___Toc535051622">
            <w:r>
              <w:rPr>
                <w:rStyle w:val="IndexLink"/>
              </w:rPr>
              <w:t>57</w:t>
            </w:r>
          </w:hyperlink>
        </w:p>
        <w:p>
          <w:pPr>
            <w:pStyle w:val="TOC2"/>
            <w:rPr/>
          </w:pPr>
          <w:r>
            <w:rPr/>
            <w:t>Section 13.7</w:t>
            <w:tab/>
            <w:t>Successors and Assigns</w:t>
            <w:tab/>
          </w:r>
          <w:hyperlink w:anchor="__RefHeading___Toc535051623">
            <w:r>
              <w:rPr>
                <w:rStyle w:val="IndexLink"/>
              </w:rPr>
              <w:t>57</w:t>
            </w:r>
          </w:hyperlink>
        </w:p>
        <w:p>
          <w:pPr>
            <w:pStyle w:val="TOC2"/>
            <w:rPr/>
          </w:pPr>
          <w:r>
            <w:rPr/>
            <w:t>Section 13.8</w:t>
            <w:tab/>
            <w:t>Entire Agreement; No Third Party Beneficiaries</w:t>
            <w:tab/>
          </w:r>
          <w:hyperlink w:anchor="__RefHeading___Toc535051624">
            <w:r>
              <w:rPr>
                <w:rStyle w:val="IndexLink"/>
              </w:rPr>
              <w:t>57</w:t>
            </w:r>
          </w:hyperlink>
        </w:p>
        <w:p>
          <w:pPr>
            <w:pStyle w:val="TOC2"/>
            <w:rPr/>
          </w:pPr>
          <w:r>
            <w:rPr/>
            <w:t>Section 13.9</w:t>
            <w:tab/>
            <w:t>Counterparts</w:t>
            <w:tab/>
          </w:r>
          <w:hyperlink w:anchor="__RefHeading___Toc535051625">
            <w:r>
              <w:rPr>
                <w:rStyle w:val="IndexLink"/>
              </w:rPr>
              <w:t>58</w:t>
            </w:r>
          </w:hyperlink>
        </w:p>
        <w:p>
          <w:pPr>
            <w:pStyle w:val="TOC2"/>
            <w:rPr/>
          </w:pPr>
          <w:r>
            <w:rPr/>
            <w:t>Section 13.10</w:t>
            <w:tab/>
            <w:t>Interpretation; Absence of Presumption</w:t>
            <w:tab/>
          </w:r>
          <w:hyperlink w:anchor="__RefHeading___Toc535051626">
            <w:r>
              <w:rPr>
                <w:rStyle w:val="IndexLink"/>
              </w:rPr>
              <w:t>58</w:t>
            </w:r>
          </w:hyperlink>
        </w:p>
        <w:p>
          <w:pPr>
            <w:pStyle w:val="TOC2"/>
            <w:rPr/>
          </w:pPr>
          <w:r>
            <w:rPr/>
            <w:t>Section 13.11</w:t>
            <w:tab/>
            <w:t>Severability</w:t>
            <w:tab/>
          </w:r>
          <w:hyperlink w:anchor="__RefHeading___Toc535051627">
            <w:r>
              <w:rPr>
                <w:rStyle w:val="IndexLink"/>
              </w:rPr>
              <w:t>58</w:t>
            </w:r>
          </w:hyperlink>
        </w:p>
        <w:p>
          <w:pPr>
            <w:pStyle w:val="TOC2"/>
            <w:rPr/>
          </w:pPr>
          <w:r>
            <w:rPr/>
            <w:t>Section 13.12</w:t>
            <w:tab/>
            <w:t>Remedies Cumulative</w:t>
            <w:tab/>
          </w:r>
          <w:hyperlink w:anchor="__RefHeading___Toc535051628">
            <w:r>
              <w:rPr>
                <w:rStyle w:val="IndexLink"/>
              </w:rPr>
              <w:t>58</w:t>
            </w:r>
          </w:hyperlink>
        </w:p>
        <w:p>
          <w:pPr>
            <w:pStyle w:val="TOC2"/>
            <w:rPr/>
          </w:pPr>
          <w:r>
            <w:rPr/>
            <w:t>Section 13.13</w:t>
            <w:tab/>
            <w:t>Specific Performance</w:t>
            <w:tab/>
          </w:r>
          <w:hyperlink w:anchor="__RefHeading___Toc535051629">
            <w:r>
              <w:rPr>
                <w:rStyle w:val="IndexLink"/>
              </w:rPr>
              <w:t>58</w:t>
            </w:r>
          </w:hyperlink>
        </w:p>
        <w:p>
          <w:pPr>
            <w:pStyle w:val="TOC2"/>
            <w:rPr/>
          </w:pPr>
          <w:r>
            <w:rPr/>
            <w:t>Section 13.14</w:t>
            <w:tab/>
            <w:t>Governing Law</w:t>
            <w:tab/>
          </w:r>
          <w:hyperlink w:anchor="__RefHeading___Toc535051630">
            <w:r>
              <w:rPr>
                <w:rStyle w:val="IndexLink"/>
              </w:rPr>
              <w:t>58</w:t>
            </w:r>
          </w:hyperlink>
        </w:p>
        <w:p>
          <w:pPr>
            <w:pStyle w:val="TOC2"/>
            <w:rPr/>
          </w:pPr>
          <w:r>
            <w:rPr/>
            <w:t>Section 13.15</w:t>
            <w:tab/>
            <w:t>Guarantee</w:t>
            <w:tab/>
          </w:r>
          <w:hyperlink w:anchor="__RefHeading___Toc535051631">
            <w:r>
              <w:rPr>
                <w:rStyle w:val="IndexLink"/>
              </w:rPr>
              <w:t>58</w:t>
            </w:r>
          </w:hyperlink>
          <w:r>
            <w:rPr>
              <w:rStyle w:val="IndexLink"/>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lowerRoman"/>
          <w:formProt w:val="false"/>
          <w:titlePg/>
          <w:textDirection w:val="lrTb"/>
          <w:docGrid w:type="default" w:linePitch="360" w:charSpace="0"/>
        </w:sectPr>
        <w:pStyle w:val="TOC1"/>
        <w:numPr>
          <w:ilvl w:val="0"/>
          <w:numId w:val="0"/>
        </w:numPr>
        <w:rPr/>
      </w:pPr>
      <w:r>
        <w:rPr/>
      </w:r>
      <w:bookmarkStart w:id="8" w:name="BodySection"/>
      <w:bookmarkStart w:id="9" w:name="ScheduleSection"/>
      <w:bookmarkStart w:id="10" w:name="BodySection"/>
      <w:bookmarkStart w:id="11" w:name="ScheduleSection"/>
      <w:bookmarkEnd w:id="10"/>
      <w:bookmarkEnd w:id="11"/>
    </w:p>
    <w:p>
      <w:pPr>
        <w:pStyle w:val="CenteredHeading"/>
        <w:rPr/>
      </w:pPr>
      <w:r>
        <w:rPr/>
        <w:t>EXHIBITS</w:t>
      </w:r>
    </w:p>
    <w:p>
      <w:pPr>
        <w:pStyle w:val="Schedules"/>
        <w:rPr/>
      </w:pPr>
      <w:r>
        <w:rPr/>
        <w:t>Exhibits 1.1 and 1.2</w:t>
        <w:tab/>
        <w:t>Licensing Agreement Term Sheets</w:t>
      </w:r>
    </w:p>
    <w:p>
      <w:pPr>
        <w:pStyle w:val="Schedules"/>
        <w:rPr/>
      </w:pPr>
      <w:r>
        <w:rPr/>
      </w:r>
    </w:p>
    <w:p>
      <w:pPr>
        <w:pStyle w:val="Schedules"/>
        <w:rPr/>
      </w:pPr>
      <w:r>
        <w:rPr/>
        <w:t>Exhibit 1.3</w:t>
        <w:tab/>
        <w:t>Transition Services Agreement Term Sheet</w:t>
      </w:r>
    </w:p>
    <w:p>
      <w:pPr>
        <w:pStyle w:val="Schedules"/>
        <w:rPr/>
      </w:pPr>
      <w:r>
        <w:rPr/>
      </w:r>
    </w:p>
    <w:p>
      <w:pPr>
        <w:pStyle w:val="Schedules"/>
        <w:rPr/>
      </w:pPr>
      <w:r>
        <w:rPr/>
        <w:t>Exhibit 2.1</w:t>
        <w:tab/>
        <w:t>Assets</w:t>
      </w:r>
    </w:p>
    <w:p>
      <w:pPr>
        <w:pStyle w:val="Schedules"/>
        <w:rPr/>
      </w:pPr>
      <w:r>
        <w:rPr/>
      </w:r>
    </w:p>
    <w:p>
      <w:pPr>
        <w:pStyle w:val="Schedules"/>
        <w:rPr/>
      </w:pPr>
      <w:r>
        <w:rPr/>
        <w:t>Exhibit 2.1(c)(ii)</w:t>
        <w:tab/>
        <w:t>Real Property Lease</w:t>
      </w:r>
    </w:p>
    <w:p>
      <w:pPr>
        <w:pStyle w:val="Schedules"/>
        <w:rPr/>
      </w:pPr>
      <w:r>
        <w:rPr/>
      </w:r>
      <w:r>
        <w:br w:type="page"/>
      </w:r>
    </w:p>
    <w:p>
      <w:pPr>
        <w:pStyle w:val="CenteredHeading"/>
        <w:rPr/>
      </w:pPr>
      <w:r>
        <w:rPr/>
        <w:t>SCHEDULES</w:t>
      </w:r>
    </w:p>
    <w:tbl>
      <w:tblPr>
        <w:tblW w:w="9558" w:type="dxa"/>
        <w:jc w:val="start"/>
        <w:tblInd w:w="0" w:type="dxa"/>
        <w:tblLayout w:type="fixed"/>
        <w:tblCellMar>
          <w:top w:w="0" w:type="dxa"/>
          <w:start w:w="108" w:type="dxa"/>
          <w:bottom w:w="0" w:type="dxa"/>
          <w:end w:w="108" w:type="dxa"/>
        </w:tblCellMar>
      </w:tblPr>
      <w:tblGrid>
        <w:gridCol w:w="2538"/>
        <w:gridCol w:w="7020"/>
      </w:tblGrid>
      <w:tr>
        <w:trPr/>
        <w:tc>
          <w:tcPr>
            <w:tcW w:w="2538" w:type="dxa"/>
            <w:tcBorders/>
          </w:tcPr>
          <w:p>
            <w:pPr>
              <w:pStyle w:val="BodyText"/>
              <w:spacing w:before="0" w:after="0"/>
              <w:ind w:hanging="0" w:end="0"/>
              <w:rPr/>
            </w:pPr>
            <w:r>
              <w:rPr/>
              <w:t>Schedule 1</w:t>
            </w:r>
          </w:p>
        </w:tc>
        <w:tc>
          <w:tcPr>
            <w:tcW w:w="7020" w:type="dxa"/>
            <w:tcBorders/>
          </w:tcPr>
          <w:p>
            <w:pPr>
              <w:pStyle w:val="BodyText"/>
              <w:spacing w:before="0" w:after="0"/>
              <w:ind w:hanging="0" w:end="0"/>
              <w:rPr/>
            </w:pPr>
            <w:r>
              <w:rPr/>
              <w:t>Additional Signatories</w:t>
            </w:r>
          </w:p>
        </w:tc>
      </w:tr>
      <w:tr>
        <w:trPr/>
        <w:tc>
          <w:tcPr>
            <w:tcW w:w="2538" w:type="dxa"/>
            <w:tcBorders/>
          </w:tcPr>
          <w:p>
            <w:pPr>
              <w:pStyle w:val="BodyText"/>
              <w:spacing w:before="0" w:after="0"/>
              <w:ind w:hanging="0" w:end="0"/>
              <w:rPr/>
            </w:pPr>
            <w:r>
              <w:rPr/>
              <w:t>Schedule 1.1</w:t>
            </w:r>
          </w:p>
        </w:tc>
        <w:tc>
          <w:tcPr>
            <w:tcW w:w="7020" w:type="dxa"/>
            <w:tcBorders/>
          </w:tcPr>
          <w:p>
            <w:pPr>
              <w:pStyle w:val="BodyText"/>
              <w:spacing w:before="0" w:after="0"/>
              <w:ind w:hanging="0" w:end="0"/>
              <w:rPr/>
            </w:pPr>
            <w:r>
              <w:rPr/>
              <w:t>GAAP Exceptions</w:t>
            </w:r>
          </w:p>
        </w:tc>
      </w:tr>
      <w:tr>
        <w:trPr/>
        <w:tc>
          <w:tcPr>
            <w:tcW w:w="2538" w:type="dxa"/>
            <w:tcBorders/>
          </w:tcPr>
          <w:p>
            <w:pPr>
              <w:pStyle w:val="BodyText"/>
              <w:spacing w:before="0" w:after="0"/>
              <w:ind w:hanging="0" w:end="0"/>
              <w:rPr/>
            </w:pPr>
            <w:r>
              <w:rPr/>
              <w:t>Schedule 2.1(b)(i)</w:t>
            </w:r>
          </w:p>
        </w:tc>
        <w:tc>
          <w:tcPr>
            <w:tcW w:w="7020" w:type="dxa"/>
            <w:tcBorders/>
          </w:tcPr>
          <w:p>
            <w:pPr>
              <w:pStyle w:val="BodyText"/>
              <w:spacing w:before="0" w:after="0"/>
              <w:ind w:hanging="0" w:end="0"/>
              <w:rPr/>
            </w:pPr>
            <w:r>
              <w:rPr/>
              <w:t>Real Estate</w:t>
            </w:r>
          </w:p>
        </w:tc>
      </w:tr>
      <w:tr>
        <w:trPr/>
        <w:tc>
          <w:tcPr>
            <w:tcW w:w="2538" w:type="dxa"/>
            <w:tcBorders/>
          </w:tcPr>
          <w:p>
            <w:pPr>
              <w:pStyle w:val="BodyText"/>
              <w:spacing w:before="0" w:after="0"/>
              <w:ind w:hanging="0" w:end="0"/>
              <w:rPr/>
            </w:pPr>
            <w:r>
              <w:rPr/>
              <w:t>Schedule 2.1(i)</w:t>
            </w:r>
          </w:p>
        </w:tc>
        <w:tc>
          <w:tcPr>
            <w:tcW w:w="7020" w:type="dxa"/>
            <w:tcBorders/>
          </w:tcPr>
          <w:p>
            <w:pPr>
              <w:pStyle w:val="BodyText"/>
              <w:spacing w:before="0" w:after="0"/>
              <w:ind w:hanging="0" w:end="0"/>
              <w:rPr/>
            </w:pPr>
            <w:r>
              <w:rPr/>
              <w:t>Retained Rights to Cause of Action, Lawsuits, Judgments, Claims and Demands</w:t>
            </w:r>
          </w:p>
        </w:tc>
      </w:tr>
      <w:tr>
        <w:trPr/>
        <w:tc>
          <w:tcPr>
            <w:tcW w:w="2538" w:type="dxa"/>
            <w:tcBorders/>
          </w:tcPr>
          <w:p>
            <w:pPr>
              <w:pStyle w:val="BodyText"/>
              <w:spacing w:before="0" w:after="0"/>
              <w:ind w:hanging="0" w:end="0"/>
              <w:rPr/>
            </w:pPr>
            <w:r>
              <w:rPr/>
              <w:t xml:space="preserve">Schedule 2.1(j)(i) </w:t>
            </w:r>
          </w:p>
        </w:tc>
        <w:tc>
          <w:tcPr>
            <w:tcW w:w="7020" w:type="dxa"/>
            <w:tcBorders/>
          </w:tcPr>
          <w:p>
            <w:pPr>
              <w:pStyle w:val="BodyText"/>
              <w:spacing w:before="0" w:after="0"/>
              <w:ind w:hanging="0" w:end="0"/>
              <w:rPr/>
            </w:pPr>
            <w:r>
              <w:rPr/>
              <w:t xml:space="preserve">Insurance Policies </w:t>
            </w:r>
          </w:p>
        </w:tc>
      </w:tr>
      <w:tr>
        <w:trPr/>
        <w:tc>
          <w:tcPr>
            <w:tcW w:w="2538" w:type="dxa"/>
            <w:tcBorders/>
          </w:tcPr>
          <w:p>
            <w:pPr>
              <w:pStyle w:val="BodyText"/>
              <w:spacing w:before="0" w:after="0"/>
              <w:ind w:hanging="0" w:end="0"/>
              <w:rPr/>
            </w:pPr>
            <w:r>
              <w:rPr/>
              <w:t xml:space="preserve">Schedule 2.1(j)(ii) </w:t>
            </w:r>
          </w:p>
        </w:tc>
        <w:tc>
          <w:tcPr>
            <w:tcW w:w="7020" w:type="dxa"/>
            <w:tcBorders/>
          </w:tcPr>
          <w:p>
            <w:pPr>
              <w:pStyle w:val="BodyText"/>
              <w:spacing w:before="0" w:after="0"/>
              <w:ind w:hanging="0" w:end="0"/>
              <w:rPr/>
            </w:pPr>
            <w:r>
              <w:rPr/>
              <w:t>Certain Claims</w:t>
            </w:r>
          </w:p>
        </w:tc>
      </w:tr>
      <w:tr>
        <w:trPr/>
        <w:tc>
          <w:tcPr>
            <w:tcW w:w="2538" w:type="dxa"/>
            <w:tcBorders/>
          </w:tcPr>
          <w:p>
            <w:pPr>
              <w:pStyle w:val="BodyText"/>
              <w:spacing w:before="0" w:after="0"/>
              <w:ind w:hanging="0" w:end="0"/>
              <w:rPr/>
            </w:pPr>
            <w:r>
              <w:rPr/>
              <w:t>Schedule 2.2(j)</w:t>
            </w:r>
          </w:p>
        </w:tc>
        <w:tc>
          <w:tcPr>
            <w:tcW w:w="7020" w:type="dxa"/>
            <w:tcBorders/>
          </w:tcPr>
          <w:p>
            <w:pPr>
              <w:pStyle w:val="BodyText"/>
              <w:spacing w:before="0" w:after="0"/>
              <w:ind w:hanging="0" w:end="0"/>
              <w:rPr/>
            </w:pPr>
            <w:r>
              <w:rPr/>
              <w:t>Executory Contracts with Third Parties Other than Assumed Contracts</w:t>
            </w:r>
          </w:p>
        </w:tc>
      </w:tr>
      <w:tr>
        <w:trPr/>
        <w:tc>
          <w:tcPr>
            <w:tcW w:w="2538" w:type="dxa"/>
            <w:tcBorders/>
          </w:tcPr>
          <w:p>
            <w:pPr>
              <w:pStyle w:val="BodyText"/>
              <w:spacing w:before="0" w:after="0"/>
              <w:ind w:hanging="0" w:end="0"/>
              <w:rPr/>
            </w:pPr>
            <w:r>
              <w:rPr/>
              <w:t>Schedule 3.2</w:t>
            </w:r>
          </w:p>
        </w:tc>
        <w:tc>
          <w:tcPr>
            <w:tcW w:w="7020" w:type="dxa"/>
            <w:tcBorders/>
          </w:tcPr>
          <w:p>
            <w:pPr>
              <w:pStyle w:val="BodyText"/>
              <w:spacing w:before="0" w:after="0"/>
              <w:ind w:hanging="0" w:end="0"/>
              <w:rPr/>
            </w:pPr>
            <w:r>
              <w:rPr/>
              <w:t>Consents</w:t>
            </w:r>
          </w:p>
        </w:tc>
      </w:tr>
      <w:tr>
        <w:trPr/>
        <w:tc>
          <w:tcPr>
            <w:tcW w:w="2538" w:type="dxa"/>
            <w:tcBorders/>
          </w:tcPr>
          <w:p>
            <w:pPr>
              <w:pStyle w:val="BodyText"/>
              <w:spacing w:before="0" w:after="0"/>
              <w:ind w:hanging="0" w:end="0"/>
              <w:rPr/>
            </w:pPr>
            <w:r>
              <w:rPr/>
              <w:t>Schedule 3.3</w:t>
            </w:r>
          </w:p>
        </w:tc>
        <w:tc>
          <w:tcPr>
            <w:tcW w:w="7020" w:type="dxa"/>
            <w:tcBorders/>
          </w:tcPr>
          <w:p>
            <w:pPr>
              <w:pStyle w:val="BodyText"/>
              <w:spacing w:before="0" w:after="0"/>
              <w:ind w:hanging="0" w:end="0"/>
              <w:rPr/>
            </w:pPr>
            <w:r>
              <w:rPr/>
              <w:t>Encumbrances on Assets</w:t>
            </w:r>
          </w:p>
        </w:tc>
      </w:tr>
      <w:tr>
        <w:trPr/>
        <w:tc>
          <w:tcPr>
            <w:tcW w:w="2538" w:type="dxa"/>
            <w:tcBorders/>
          </w:tcPr>
          <w:p>
            <w:pPr>
              <w:pStyle w:val="BodyText"/>
              <w:spacing w:before="0" w:after="0"/>
              <w:ind w:hanging="0" w:end="0"/>
              <w:rPr/>
            </w:pPr>
            <w:r>
              <w:rPr/>
              <w:t>Schedule 3.4</w:t>
            </w:r>
          </w:p>
        </w:tc>
        <w:tc>
          <w:tcPr>
            <w:tcW w:w="7020" w:type="dxa"/>
            <w:tcBorders/>
          </w:tcPr>
          <w:p>
            <w:pPr>
              <w:pStyle w:val="BodyText"/>
              <w:spacing w:before="0" w:after="0"/>
              <w:ind w:hanging="0" w:end="0"/>
              <w:rPr/>
            </w:pPr>
            <w:r>
              <w:rPr/>
              <w:t>Certain Changes</w:t>
            </w:r>
          </w:p>
        </w:tc>
      </w:tr>
      <w:tr>
        <w:trPr/>
        <w:tc>
          <w:tcPr>
            <w:tcW w:w="2538" w:type="dxa"/>
            <w:tcBorders/>
          </w:tcPr>
          <w:p>
            <w:pPr>
              <w:pStyle w:val="BodyText"/>
              <w:spacing w:before="0" w:after="0"/>
              <w:ind w:hanging="0" w:end="0"/>
              <w:rPr/>
            </w:pPr>
            <w:r>
              <w:rPr/>
              <w:t>Schedule 3.5</w:t>
            </w:r>
          </w:p>
        </w:tc>
        <w:tc>
          <w:tcPr>
            <w:tcW w:w="7020" w:type="dxa"/>
            <w:tcBorders/>
          </w:tcPr>
          <w:p>
            <w:pPr>
              <w:pStyle w:val="BodyText"/>
              <w:spacing w:before="0" w:after="0"/>
              <w:ind w:hanging="0" w:end="0"/>
              <w:rPr/>
            </w:pPr>
            <w:r>
              <w:rPr/>
              <w:t>Litigation</w:t>
            </w:r>
          </w:p>
        </w:tc>
      </w:tr>
      <w:tr>
        <w:trPr/>
        <w:tc>
          <w:tcPr>
            <w:tcW w:w="2538" w:type="dxa"/>
            <w:tcBorders/>
          </w:tcPr>
          <w:p>
            <w:pPr>
              <w:pStyle w:val="BodyText"/>
              <w:spacing w:before="0" w:after="0"/>
              <w:ind w:hanging="0" w:end="0"/>
              <w:rPr/>
            </w:pPr>
            <w:r>
              <w:rPr/>
              <w:t>Schedule 3.6(a)</w:t>
            </w:r>
          </w:p>
        </w:tc>
        <w:tc>
          <w:tcPr>
            <w:tcW w:w="7020" w:type="dxa"/>
            <w:tcBorders/>
          </w:tcPr>
          <w:p>
            <w:pPr>
              <w:pStyle w:val="BodyText"/>
              <w:spacing w:before="0" w:after="0"/>
              <w:ind w:hanging="0" w:end="0"/>
              <w:rPr/>
            </w:pPr>
            <w:r>
              <w:rPr/>
              <w:t>Business Intellectual Property</w:t>
            </w:r>
          </w:p>
        </w:tc>
      </w:tr>
      <w:tr>
        <w:trPr/>
        <w:tc>
          <w:tcPr>
            <w:tcW w:w="2538" w:type="dxa"/>
            <w:tcBorders/>
          </w:tcPr>
          <w:p>
            <w:pPr>
              <w:pStyle w:val="BodyText"/>
              <w:spacing w:before="0" w:after="0"/>
              <w:ind w:hanging="0" w:end="0"/>
              <w:rPr/>
            </w:pPr>
            <w:r>
              <w:rPr/>
              <w:t>Schedule 3.6(b)</w:t>
            </w:r>
          </w:p>
        </w:tc>
        <w:tc>
          <w:tcPr>
            <w:tcW w:w="7020" w:type="dxa"/>
            <w:tcBorders/>
          </w:tcPr>
          <w:p>
            <w:pPr>
              <w:pStyle w:val="BodyText"/>
              <w:spacing w:before="0" w:after="0"/>
              <w:ind w:hanging="0" w:end="0"/>
              <w:rPr/>
            </w:pPr>
            <w:r>
              <w:rPr/>
              <w:t>Transfer of Business Intellectual Property</w:t>
            </w:r>
          </w:p>
        </w:tc>
      </w:tr>
      <w:tr>
        <w:trPr/>
        <w:tc>
          <w:tcPr>
            <w:tcW w:w="2538" w:type="dxa"/>
            <w:tcBorders/>
          </w:tcPr>
          <w:p>
            <w:pPr>
              <w:pStyle w:val="BodyText"/>
              <w:spacing w:before="0" w:after="0"/>
              <w:ind w:hanging="0" w:end="0"/>
              <w:rPr/>
            </w:pPr>
            <w:r>
              <w:rPr/>
              <w:t>Schedule 3.6(d)</w:t>
            </w:r>
          </w:p>
        </w:tc>
        <w:tc>
          <w:tcPr>
            <w:tcW w:w="7020" w:type="dxa"/>
            <w:tcBorders/>
          </w:tcPr>
          <w:p>
            <w:pPr>
              <w:pStyle w:val="BodyText"/>
              <w:spacing w:before="0" w:after="0"/>
              <w:ind w:hanging="0" w:end="0"/>
              <w:rPr/>
            </w:pPr>
            <w:r>
              <w:rPr/>
              <w:t>Due Registration of Business Intellectual Property</w:t>
            </w:r>
          </w:p>
        </w:tc>
      </w:tr>
      <w:tr>
        <w:trPr/>
        <w:tc>
          <w:tcPr>
            <w:tcW w:w="2538" w:type="dxa"/>
            <w:tcBorders/>
          </w:tcPr>
          <w:p>
            <w:pPr>
              <w:pStyle w:val="BodyText"/>
              <w:spacing w:before="0" w:after="0"/>
              <w:ind w:hanging="0" w:end="0"/>
              <w:rPr/>
            </w:pPr>
            <w:r>
              <w:rPr/>
              <w:t>Schedule 3.7(a)</w:t>
            </w:r>
          </w:p>
        </w:tc>
        <w:tc>
          <w:tcPr>
            <w:tcW w:w="7020" w:type="dxa"/>
            <w:tcBorders/>
          </w:tcPr>
          <w:p>
            <w:pPr>
              <w:pStyle w:val="BodyText"/>
              <w:spacing w:before="0" w:after="0"/>
              <w:ind w:hanging="0" w:end="0"/>
              <w:rPr/>
            </w:pPr>
            <w:r>
              <w:rPr/>
              <w:t>Permits</w:t>
            </w:r>
          </w:p>
        </w:tc>
      </w:tr>
      <w:tr>
        <w:trPr/>
        <w:tc>
          <w:tcPr>
            <w:tcW w:w="2538" w:type="dxa"/>
            <w:tcBorders/>
          </w:tcPr>
          <w:p>
            <w:pPr>
              <w:pStyle w:val="BodyText"/>
              <w:spacing w:before="0" w:after="0"/>
              <w:ind w:hanging="0" w:end="0"/>
              <w:rPr/>
            </w:pPr>
            <w:r>
              <w:rPr/>
              <w:t>Schedule 3.8</w:t>
            </w:r>
          </w:p>
        </w:tc>
        <w:tc>
          <w:tcPr>
            <w:tcW w:w="7020" w:type="dxa"/>
            <w:tcBorders/>
          </w:tcPr>
          <w:p>
            <w:pPr>
              <w:pStyle w:val="BodyText"/>
              <w:spacing w:before="0" w:after="0"/>
              <w:ind w:hanging="0" w:end="0"/>
              <w:rPr/>
            </w:pPr>
            <w:r>
              <w:rPr/>
              <w:t>Labor Disputes</w:t>
            </w:r>
          </w:p>
        </w:tc>
      </w:tr>
      <w:tr>
        <w:trPr/>
        <w:tc>
          <w:tcPr>
            <w:tcW w:w="2538" w:type="dxa"/>
            <w:tcBorders/>
          </w:tcPr>
          <w:p>
            <w:pPr>
              <w:pStyle w:val="BodyText"/>
              <w:spacing w:before="0" w:after="0"/>
              <w:ind w:hanging="0" w:end="0"/>
              <w:rPr/>
            </w:pPr>
            <w:r>
              <w:rPr/>
              <w:t>Schedule 3.9</w:t>
            </w:r>
          </w:p>
        </w:tc>
        <w:tc>
          <w:tcPr>
            <w:tcW w:w="7020" w:type="dxa"/>
            <w:tcBorders/>
          </w:tcPr>
          <w:p>
            <w:pPr>
              <w:pStyle w:val="BodyText"/>
              <w:spacing w:before="0" w:after="0"/>
              <w:ind w:hanging="0" w:end="0"/>
              <w:rPr/>
            </w:pPr>
            <w:r>
              <w:rPr/>
              <w:t>Compliance with Laws</w:t>
            </w:r>
          </w:p>
        </w:tc>
      </w:tr>
      <w:tr>
        <w:trPr/>
        <w:tc>
          <w:tcPr>
            <w:tcW w:w="2538" w:type="dxa"/>
            <w:tcBorders/>
          </w:tcPr>
          <w:p>
            <w:pPr>
              <w:pStyle w:val="BodyText"/>
              <w:spacing w:before="0" w:after="0"/>
              <w:ind w:hanging="0" w:end="0"/>
              <w:rPr/>
            </w:pPr>
            <w:r>
              <w:rPr/>
              <w:t>Schedule 3.10</w:t>
            </w:r>
          </w:p>
        </w:tc>
        <w:tc>
          <w:tcPr>
            <w:tcW w:w="7020" w:type="dxa"/>
            <w:tcBorders/>
          </w:tcPr>
          <w:p>
            <w:pPr>
              <w:pStyle w:val="BodyText"/>
              <w:spacing w:before="0" w:after="0"/>
              <w:ind w:hanging="0" w:end="0"/>
              <w:rPr/>
            </w:pPr>
            <w:r>
              <w:rPr/>
              <w:t>Contracts</w:t>
            </w:r>
          </w:p>
        </w:tc>
      </w:tr>
      <w:tr>
        <w:trPr/>
        <w:tc>
          <w:tcPr>
            <w:tcW w:w="2538" w:type="dxa"/>
            <w:tcBorders/>
          </w:tcPr>
          <w:p>
            <w:pPr>
              <w:pStyle w:val="BodyText"/>
              <w:spacing w:before="0" w:after="0"/>
              <w:ind w:hanging="0" w:end="0"/>
              <w:rPr/>
            </w:pPr>
            <w:r>
              <w:rPr/>
              <w:t>Schedule 3.10(c)</w:t>
            </w:r>
          </w:p>
        </w:tc>
        <w:tc>
          <w:tcPr>
            <w:tcW w:w="7020" w:type="dxa"/>
            <w:tcBorders/>
          </w:tcPr>
          <w:p>
            <w:pPr>
              <w:pStyle w:val="BodyText"/>
              <w:spacing w:before="0" w:after="0"/>
              <w:ind w:hanging="0" w:end="0"/>
              <w:rPr/>
            </w:pPr>
            <w:r>
              <w:rPr/>
              <w:t>Notices, Defaults and Consents</w:t>
            </w:r>
          </w:p>
        </w:tc>
      </w:tr>
      <w:tr>
        <w:trPr/>
        <w:tc>
          <w:tcPr>
            <w:tcW w:w="2538" w:type="dxa"/>
            <w:tcBorders/>
          </w:tcPr>
          <w:p>
            <w:pPr>
              <w:pStyle w:val="BodyText"/>
              <w:spacing w:before="0" w:after="0"/>
              <w:ind w:hanging="0" w:end="0"/>
              <w:rPr/>
            </w:pPr>
            <w:r>
              <w:rPr/>
              <w:t>Schedule 3.11(a)(i)</w:t>
            </w:r>
          </w:p>
        </w:tc>
        <w:tc>
          <w:tcPr>
            <w:tcW w:w="7020" w:type="dxa"/>
            <w:tcBorders/>
          </w:tcPr>
          <w:p>
            <w:pPr>
              <w:pStyle w:val="BodyText"/>
              <w:spacing w:before="0" w:after="0"/>
              <w:ind w:hanging="0" w:end="0"/>
              <w:rPr/>
            </w:pPr>
            <w:r>
              <w:rPr/>
              <w:t>Business Real Estate</w:t>
            </w:r>
          </w:p>
        </w:tc>
      </w:tr>
      <w:tr>
        <w:trPr/>
        <w:tc>
          <w:tcPr>
            <w:tcW w:w="2538" w:type="dxa"/>
            <w:tcBorders/>
          </w:tcPr>
          <w:p>
            <w:pPr>
              <w:pStyle w:val="BodyText"/>
              <w:spacing w:before="0" w:after="0"/>
              <w:ind w:hanging="0" w:end="0"/>
              <w:rPr/>
            </w:pPr>
            <w:r>
              <w:rPr/>
              <w:t>Schedule 3.11(a)(ii)</w:t>
            </w:r>
          </w:p>
        </w:tc>
        <w:tc>
          <w:tcPr>
            <w:tcW w:w="7020" w:type="dxa"/>
            <w:tcBorders/>
          </w:tcPr>
          <w:p>
            <w:pPr>
              <w:pStyle w:val="BodyText"/>
              <w:spacing w:before="0" w:after="0"/>
              <w:ind w:hanging="0" w:end="0"/>
              <w:rPr/>
            </w:pPr>
            <w:r>
              <w:rPr/>
              <w:t>Compliance with Real Estate Laws</w:t>
            </w:r>
          </w:p>
        </w:tc>
      </w:tr>
      <w:tr>
        <w:trPr/>
        <w:tc>
          <w:tcPr>
            <w:tcW w:w="2538" w:type="dxa"/>
            <w:tcBorders/>
          </w:tcPr>
          <w:p>
            <w:pPr>
              <w:pStyle w:val="BodyText"/>
              <w:spacing w:before="0" w:after="0"/>
              <w:ind w:hanging="0" w:end="0"/>
              <w:rPr/>
            </w:pPr>
            <w:r>
              <w:rPr/>
              <w:t>Schedule 3.11(a)(iii)</w:t>
            </w:r>
          </w:p>
        </w:tc>
        <w:tc>
          <w:tcPr>
            <w:tcW w:w="7020" w:type="dxa"/>
            <w:tcBorders/>
          </w:tcPr>
          <w:p>
            <w:pPr>
              <w:pStyle w:val="BodyText"/>
              <w:spacing w:before="0" w:after="0"/>
              <w:ind w:hanging="0" w:end="0"/>
              <w:rPr/>
            </w:pPr>
            <w:r>
              <w:rPr/>
              <w:t>Encumbrances on Business Real Estate</w:t>
            </w:r>
          </w:p>
        </w:tc>
      </w:tr>
      <w:tr>
        <w:trPr/>
        <w:tc>
          <w:tcPr>
            <w:tcW w:w="2538" w:type="dxa"/>
            <w:tcBorders/>
          </w:tcPr>
          <w:p>
            <w:pPr>
              <w:pStyle w:val="BodyText"/>
              <w:spacing w:before="0" w:after="0"/>
              <w:ind w:hanging="0" w:end="0"/>
              <w:rPr/>
            </w:pPr>
            <w:r>
              <w:rPr/>
              <w:t>Schedule 3.11(b)</w:t>
            </w:r>
          </w:p>
        </w:tc>
        <w:tc>
          <w:tcPr>
            <w:tcW w:w="7020" w:type="dxa"/>
            <w:tcBorders/>
          </w:tcPr>
          <w:p>
            <w:pPr>
              <w:pStyle w:val="BodyText"/>
              <w:spacing w:before="0" w:after="0"/>
              <w:ind w:hanging="0" w:end="0"/>
              <w:rPr/>
            </w:pPr>
            <w:r>
              <w:rPr/>
              <w:t>Third Party Rights and Encumbrances</w:t>
            </w:r>
          </w:p>
        </w:tc>
      </w:tr>
      <w:tr>
        <w:trPr/>
        <w:tc>
          <w:tcPr>
            <w:tcW w:w="2538" w:type="dxa"/>
            <w:tcBorders/>
          </w:tcPr>
          <w:p>
            <w:pPr>
              <w:pStyle w:val="BodyText"/>
              <w:spacing w:before="0" w:after="0"/>
              <w:ind w:hanging="0" w:end="0"/>
              <w:rPr/>
            </w:pPr>
            <w:r>
              <w:rPr/>
              <w:t>Schedule 3.12(a)</w:t>
            </w:r>
          </w:p>
        </w:tc>
        <w:tc>
          <w:tcPr>
            <w:tcW w:w="7020" w:type="dxa"/>
            <w:tcBorders/>
          </w:tcPr>
          <w:p>
            <w:pPr>
              <w:pStyle w:val="BodyText"/>
              <w:spacing w:before="0" w:after="0"/>
              <w:ind w:hanging="0" w:end="0"/>
              <w:rPr/>
            </w:pPr>
            <w:r>
              <w:rPr/>
              <w:t>Business Benefit Plans</w:t>
            </w:r>
          </w:p>
        </w:tc>
      </w:tr>
      <w:tr>
        <w:trPr/>
        <w:tc>
          <w:tcPr>
            <w:tcW w:w="2538" w:type="dxa"/>
            <w:tcBorders/>
          </w:tcPr>
          <w:p>
            <w:pPr>
              <w:pStyle w:val="BodyText"/>
              <w:spacing w:before="0" w:after="0"/>
              <w:ind w:hanging="0" w:end="0"/>
              <w:rPr/>
            </w:pPr>
            <w:r>
              <w:rPr/>
              <w:t>Schedule 3.12(b)</w:t>
            </w:r>
          </w:p>
        </w:tc>
        <w:tc>
          <w:tcPr>
            <w:tcW w:w="7020" w:type="dxa"/>
            <w:tcBorders/>
          </w:tcPr>
          <w:p>
            <w:pPr>
              <w:pStyle w:val="BodyText"/>
              <w:spacing w:before="0" w:after="0"/>
              <w:ind w:hanging="0" w:end="0"/>
              <w:rPr/>
            </w:pPr>
            <w:r>
              <w:rPr/>
              <w:t>Employment Agreements</w:t>
            </w:r>
          </w:p>
        </w:tc>
      </w:tr>
      <w:tr>
        <w:trPr/>
        <w:tc>
          <w:tcPr>
            <w:tcW w:w="2538" w:type="dxa"/>
            <w:tcBorders/>
          </w:tcPr>
          <w:p>
            <w:pPr>
              <w:pStyle w:val="BodyText"/>
              <w:spacing w:before="0" w:after="0"/>
              <w:ind w:hanging="0" w:end="0"/>
              <w:rPr/>
            </w:pPr>
            <w:r>
              <w:rPr/>
              <w:t>Schedule 3.12(c)</w:t>
            </w:r>
          </w:p>
        </w:tc>
        <w:tc>
          <w:tcPr>
            <w:tcW w:w="7020" w:type="dxa"/>
            <w:tcBorders/>
          </w:tcPr>
          <w:p>
            <w:pPr>
              <w:pStyle w:val="BodyText"/>
              <w:spacing w:before="0" w:after="0"/>
              <w:ind w:hanging="0" w:end="0"/>
              <w:rPr/>
            </w:pPr>
            <w:r>
              <w:rPr/>
              <w:t>Employees</w:t>
            </w:r>
          </w:p>
        </w:tc>
      </w:tr>
      <w:tr>
        <w:trPr/>
        <w:tc>
          <w:tcPr>
            <w:tcW w:w="2538" w:type="dxa"/>
            <w:tcBorders/>
          </w:tcPr>
          <w:p>
            <w:pPr>
              <w:pStyle w:val="BodyText"/>
              <w:spacing w:before="0" w:after="0"/>
              <w:ind w:hanging="0" w:end="0"/>
              <w:rPr/>
            </w:pPr>
            <w:r>
              <w:rPr/>
              <w:t>Schedule 3.12(d)</w:t>
            </w:r>
          </w:p>
        </w:tc>
        <w:tc>
          <w:tcPr>
            <w:tcW w:w="7020" w:type="dxa"/>
            <w:tcBorders/>
          </w:tcPr>
          <w:p>
            <w:pPr>
              <w:pStyle w:val="BodyText"/>
              <w:spacing w:before="0" w:after="0"/>
              <w:ind w:hanging="0" w:end="0"/>
              <w:rPr/>
            </w:pPr>
            <w:r>
              <w:rPr/>
              <w:t>Payments to Employees</w:t>
            </w:r>
          </w:p>
        </w:tc>
      </w:tr>
      <w:tr>
        <w:trPr/>
        <w:tc>
          <w:tcPr>
            <w:tcW w:w="2538" w:type="dxa"/>
            <w:tcBorders/>
          </w:tcPr>
          <w:p>
            <w:pPr>
              <w:pStyle w:val="BodyText"/>
              <w:spacing w:before="0" w:after="0"/>
              <w:ind w:hanging="0" w:end="0"/>
              <w:rPr/>
            </w:pPr>
            <w:r>
              <w:rPr/>
              <w:t>Schedule 3.14</w:t>
            </w:r>
          </w:p>
        </w:tc>
        <w:tc>
          <w:tcPr>
            <w:tcW w:w="7020" w:type="dxa"/>
            <w:tcBorders/>
          </w:tcPr>
          <w:p>
            <w:pPr>
              <w:pStyle w:val="BodyText"/>
              <w:spacing w:before="0" w:after="0"/>
              <w:ind w:hanging="0" w:end="0"/>
              <w:rPr/>
            </w:pPr>
            <w:r>
              <w:rPr/>
              <w:t>Interested Parties</w:t>
            </w:r>
          </w:p>
        </w:tc>
      </w:tr>
      <w:tr>
        <w:trPr/>
        <w:tc>
          <w:tcPr>
            <w:tcW w:w="2538" w:type="dxa"/>
            <w:tcBorders/>
          </w:tcPr>
          <w:p>
            <w:pPr>
              <w:pStyle w:val="BodyText"/>
              <w:spacing w:before="0" w:after="0"/>
              <w:ind w:hanging="0" w:end="0"/>
              <w:rPr/>
            </w:pPr>
            <w:r>
              <w:rPr/>
              <w:t>Schedule 3.17</w:t>
            </w:r>
          </w:p>
        </w:tc>
        <w:tc>
          <w:tcPr>
            <w:tcW w:w="7020" w:type="dxa"/>
            <w:tcBorders/>
          </w:tcPr>
          <w:p>
            <w:pPr>
              <w:pStyle w:val="BodyText"/>
              <w:spacing w:before="0" w:after="0"/>
              <w:ind w:hanging="0" w:end="0"/>
              <w:rPr/>
            </w:pPr>
            <w:r>
              <w:rPr/>
              <w:t>Operation of Business</w:t>
            </w:r>
          </w:p>
        </w:tc>
      </w:tr>
      <w:tr>
        <w:trPr/>
        <w:tc>
          <w:tcPr>
            <w:tcW w:w="2538" w:type="dxa"/>
            <w:tcBorders/>
          </w:tcPr>
          <w:p>
            <w:pPr>
              <w:pStyle w:val="BodyText"/>
              <w:spacing w:before="0" w:after="0"/>
              <w:ind w:hanging="0" w:end="0"/>
              <w:rPr/>
            </w:pPr>
            <w:r>
              <w:rPr/>
              <w:t>Schedule 3.18</w:t>
            </w:r>
          </w:p>
        </w:tc>
        <w:tc>
          <w:tcPr>
            <w:tcW w:w="7020" w:type="dxa"/>
            <w:tcBorders/>
          </w:tcPr>
          <w:p>
            <w:pPr>
              <w:pStyle w:val="BodyText"/>
              <w:spacing w:before="0" w:after="0"/>
              <w:ind w:hanging="0" w:end="0"/>
              <w:rPr/>
            </w:pPr>
            <w:r>
              <w:rPr/>
              <w:t>Employee Terminations</w:t>
            </w:r>
          </w:p>
        </w:tc>
      </w:tr>
      <w:tr>
        <w:trPr/>
        <w:tc>
          <w:tcPr>
            <w:tcW w:w="2538" w:type="dxa"/>
            <w:tcBorders/>
          </w:tcPr>
          <w:p>
            <w:pPr>
              <w:pStyle w:val="BodyText"/>
              <w:spacing w:before="0" w:after="0"/>
              <w:ind w:hanging="0" w:end="0"/>
              <w:rPr/>
            </w:pPr>
            <w:r>
              <w:rPr/>
              <w:t>Schedule 4.2</w:t>
            </w:r>
          </w:p>
        </w:tc>
        <w:tc>
          <w:tcPr>
            <w:tcW w:w="7020" w:type="dxa"/>
            <w:tcBorders/>
          </w:tcPr>
          <w:p>
            <w:pPr>
              <w:pStyle w:val="BodyText"/>
              <w:spacing w:before="0" w:after="0"/>
              <w:ind w:hanging="0" w:end="0"/>
              <w:rPr/>
            </w:pPr>
            <w:r>
              <w:rPr/>
              <w:t>Governmental Filings and Consents by Buyer</w:t>
            </w:r>
          </w:p>
        </w:tc>
      </w:tr>
      <w:tr>
        <w:trPr/>
        <w:tc>
          <w:tcPr>
            <w:tcW w:w="2538" w:type="dxa"/>
            <w:tcBorders/>
          </w:tcPr>
          <w:p>
            <w:pPr>
              <w:pStyle w:val="BodyText"/>
              <w:spacing w:before="0" w:after="0"/>
              <w:ind w:hanging="0" w:end="0"/>
              <w:rPr/>
            </w:pPr>
            <w:r>
              <w:rPr/>
              <w:t>Schedule 5.1(a)</w:t>
            </w:r>
          </w:p>
        </w:tc>
        <w:tc>
          <w:tcPr>
            <w:tcW w:w="7020" w:type="dxa"/>
            <w:tcBorders/>
          </w:tcPr>
          <w:p>
            <w:pPr>
              <w:pStyle w:val="BodyText"/>
              <w:spacing w:before="0" w:after="0"/>
              <w:ind w:hanging="0" w:end="0"/>
              <w:rPr/>
            </w:pPr>
            <w:r>
              <w:rPr/>
              <w:t>Conduct of Business</w:t>
            </w:r>
          </w:p>
        </w:tc>
      </w:tr>
      <w:tr>
        <w:trPr/>
        <w:tc>
          <w:tcPr>
            <w:tcW w:w="2538" w:type="dxa"/>
            <w:tcBorders/>
          </w:tcPr>
          <w:p>
            <w:pPr>
              <w:pStyle w:val="BodyText"/>
              <w:spacing w:before="0" w:after="0"/>
              <w:ind w:hanging="0" w:end="0"/>
              <w:rPr/>
            </w:pPr>
            <w:r>
              <w:rPr/>
              <w:t>Schedule 6.2</w:t>
            </w:r>
          </w:p>
        </w:tc>
        <w:tc>
          <w:tcPr>
            <w:tcW w:w="7020" w:type="dxa"/>
            <w:tcBorders/>
          </w:tcPr>
          <w:p>
            <w:pPr>
              <w:pStyle w:val="BodyText"/>
              <w:spacing w:before="0" w:after="0"/>
              <w:ind w:hanging="0" w:end="0"/>
              <w:rPr/>
            </w:pPr>
            <w:r>
              <w:rPr/>
              <w:t>Bonus Payments</w:t>
            </w:r>
          </w:p>
        </w:tc>
      </w:tr>
      <w:tr>
        <w:trPr/>
        <w:tc>
          <w:tcPr>
            <w:tcW w:w="2538" w:type="dxa"/>
            <w:tcBorders/>
          </w:tcPr>
          <w:p>
            <w:pPr>
              <w:pStyle w:val="BodyText"/>
              <w:spacing w:before="0" w:after="0"/>
              <w:ind w:hanging="0" w:end="0"/>
              <w:rPr/>
            </w:pPr>
            <w:r>
              <w:rPr/>
              <w:t xml:space="preserve">Schedule 8.2(c) </w:t>
            </w:r>
          </w:p>
        </w:tc>
        <w:tc>
          <w:tcPr>
            <w:tcW w:w="7020" w:type="dxa"/>
            <w:tcBorders/>
          </w:tcPr>
          <w:p>
            <w:pPr>
              <w:pStyle w:val="BodyText"/>
              <w:spacing w:before="0" w:after="0"/>
              <w:ind w:hanging="0" w:end="0"/>
              <w:rPr/>
            </w:pPr>
            <w:r>
              <w:rPr/>
              <w:t>Required Consents</w:t>
            </w:r>
          </w:p>
        </w:tc>
      </w:tr>
      <w:tr>
        <w:trPr/>
        <w:tc>
          <w:tcPr>
            <w:tcW w:w="2538" w:type="dxa"/>
            <w:tcBorders/>
          </w:tcPr>
          <w:p>
            <w:pPr>
              <w:pStyle w:val="BodyText"/>
              <w:spacing w:before="0" w:after="0"/>
              <w:ind w:hanging="0" w:end="0"/>
              <w:rPr/>
            </w:pPr>
            <w:r>
              <w:rPr/>
              <w:t>Schedule 8.5(a), (b)</w:t>
              <w:br/>
              <w:tab/>
              <w:t>and (c)</w:t>
            </w:r>
          </w:p>
        </w:tc>
        <w:tc>
          <w:tcPr>
            <w:tcW w:w="7020" w:type="dxa"/>
            <w:tcBorders/>
          </w:tcPr>
          <w:p>
            <w:pPr>
              <w:pStyle w:val="BodyText"/>
              <w:spacing w:before="0" w:after="0"/>
              <w:ind w:hanging="0" w:end="0"/>
              <w:rPr/>
            </w:pPr>
            <w:r>
              <w:rPr/>
              <w:br/>
              <w:t>Certain Employees</w:t>
            </w:r>
          </w:p>
        </w:tc>
      </w:tr>
    </w:tbl>
    <w:p>
      <w:pPr>
        <w:sectPr>
          <w:headerReference w:type="default" r:id="rId10"/>
          <w:headerReference w:type="first" r:id="rId11"/>
          <w:footerReference w:type="default" r:id="rId12"/>
          <w:footerReference w:type="first" r:id="rId13"/>
          <w:type w:val="nextPage"/>
          <w:pgSz w:w="12240" w:h="15840"/>
          <w:pgMar w:left="1440" w:right="1440" w:gutter="0" w:header="720" w:top="1296" w:footer="720" w:bottom="1152"/>
          <w:pgNumType w:fmt="lowerRoman"/>
          <w:formProt w:val="false"/>
          <w:titlePg/>
          <w:textDirection w:val="lrTb"/>
          <w:docGrid w:type="default" w:linePitch="360" w:charSpace="0"/>
        </w:sectPr>
        <w:pStyle w:val="Normal"/>
        <w:rPr/>
      </w:pPr>
      <w:r>
        <w:rPr/>
      </w:r>
    </w:p>
    <w:p>
      <w:pPr>
        <w:pStyle w:val="BodyText"/>
        <w:rPr/>
      </w:pPr>
      <w:r>
        <w:rPr/>
        <w:t>ASSET PURCHASE AGREEMENT (this “</w:t>
      </w:r>
      <w:r>
        <w:rPr>
          <w:u w:val="single"/>
        </w:rPr>
        <w:t>Agreement</w:t>
      </w:r>
      <w:r>
        <w:rPr/>
        <w:t>”), dated as of January 11, 2002, by and among Enron Corp., an Oregon corporation (“</w:t>
      </w:r>
      <w:r>
        <w:rPr>
          <w:u w:val="single"/>
        </w:rPr>
        <w:t>Enron</w:t>
      </w:r>
      <w:r>
        <w:rPr/>
        <w:t>”), as debtor in possession, Enron North America Corp. (“</w:t>
      </w:r>
      <w:r>
        <w:rPr>
          <w:u w:val="single"/>
        </w:rPr>
        <w:t>ENA</w:t>
      </w:r>
      <w:r>
        <w:rPr/>
        <w:t xml:space="preserve">”), a Delaware corporation and a wholly-owned subsidiary of Enron, as debtor in possession, certain other affiliates of Enron set forth on the signature page hereto and on </w:t>
      </w:r>
      <w:r>
        <w:rPr>
          <w:u w:val="single"/>
        </w:rPr>
        <w:t>Schedule 1</w:t>
      </w:r>
      <w:r>
        <w:rPr/>
        <w:t xml:space="preserve"> hereto (collectively, with Enron and ENA, “</w:t>
      </w:r>
      <w:r>
        <w:rPr>
          <w:u w:val="single"/>
        </w:rPr>
        <w:t>Sellers</w:t>
      </w:r>
      <w:r>
        <w:rPr/>
        <w:t>”), Salomon Smith Barney Holdings Inc., a New York corporation (“</w:t>
      </w:r>
      <w:r>
        <w:rPr>
          <w:u w:val="single"/>
        </w:rPr>
        <w:t>Parent</w:t>
      </w:r>
      <w:r>
        <w:rPr/>
        <w:t>”), NETB LLC (“</w:t>
      </w:r>
      <w:r>
        <w:rPr>
          <w:u w:val="single"/>
        </w:rPr>
        <w:t>U.S. Buyer</w:t>
      </w:r>
      <w:r>
        <w:rPr/>
        <w:t>”), a limited liability company organized under the laws of Delaware and indirect wholly-owned subsidiary of Parent, and NETB Canada Holdings LLC (“</w:t>
      </w:r>
      <w:r>
        <w:rPr>
          <w:u w:val="single"/>
        </w:rPr>
        <w:t>Canadian Buyer</w:t>
      </w:r>
      <w:r>
        <w:rPr/>
        <w:t>,” and together with U.S. Buyer, “</w:t>
      </w:r>
      <w:r>
        <w:rPr>
          <w:u w:val="single"/>
        </w:rPr>
        <w:t>Buyer</w:t>
      </w:r>
      <w:r>
        <w:rPr/>
        <w:t xml:space="preserve">”), a Nova Scotia unlimited liability company and wholly-owned subsidiary of U.S. Buyer. </w:t>
      </w:r>
    </w:p>
    <w:p>
      <w:pPr>
        <w:pStyle w:val="BodyText"/>
        <w:rPr/>
      </w:pPr>
      <w:r>
        <w:rPr/>
        <w:t xml:space="preserve">WHEREAS, Sellers are engaged in the wholesale North American natural gas and electricity business, which includes the structuring of, originating of, </w:t>
      </w:r>
      <w:r>
        <w:rPr>
          <w:lang w:eastAsia="en-US"/>
        </w:rPr>
        <w:t xml:space="preserve">marketing of, physical distribution of, trading of and the making of markets in, in respect of customers and counterparties worldwide, North American Gas and Electricity Commodities, and related risk management and financial services, and information gathering and analysis </w:t>
      </w:r>
      <w:r>
        <w:rPr/>
        <w:t>(the “</w:t>
      </w:r>
      <w:r>
        <w:rPr>
          <w:u w:val="single"/>
        </w:rPr>
        <w:t>Business</w:t>
      </w:r>
      <w:r>
        <w:rPr/>
        <w:t>”);</w:t>
      </w:r>
    </w:p>
    <w:p>
      <w:pPr>
        <w:pStyle w:val="BodyText"/>
        <w:rPr/>
      </w:pPr>
      <w:r>
        <w:rPr/>
        <w:t>WHEREAS, in the ordinary course of their business, certain Affiliates of Buyer entered into certain credit transactions with the Sellers and certain of their Affiliates;</w:t>
      </w:r>
    </w:p>
    <w:p>
      <w:pPr>
        <w:pStyle w:val="BodyText"/>
        <w:rPr/>
      </w:pPr>
      <w:r>
        <w:rPr/>
        <w:t>WHEREAS, Sellers wish to sell or license to Buyer substantially all of the tangible and intangible assets, properties, business and goodwill of the Business, and Buyer wishes to purchase or license such tangible and intangible assets, properties, business and goodwill from Sellers and to assume from Sellers only the Assumed Liabilities (as defined herein), excluding all Excluded Assets and Excluded Liabilities (each as defined herein), in exchange for the delivery of certain unsecured claims Buyer (and certain of its Affiliates) have against Sellers (and certain of their Affiliates) and certain rights as set forth herein, all upon the terms and subject to the conditions set forth herein;</w:t>
      </w:r>
    </w:p>
    <w:p>
      <w:pPr>
        <w:pStyle w:val="BodyText"/>
        <w:rPr/>
      </w:pPr>
      <w:r>
        <w:rPr/>
        <w:t>WHEREAS, in connection with, and as a part of, the transactions contemplated hereby, Sellers and Buyer wish to enter into the License Agreements (as defined herein) and certain other agreements as contemplated hereby;</w:t>
      </w:r>
    </w:p>
    <w:p>
      <w:pPr>
        <w:pStyle w:val="BodyText"/>
        <w:rPr/>
      </w:pPr>
      <w:r>
        <w:rPr/>
        <w:t>WHEREAS, on December 2, 2001, Enron and certain of its subsidiaries, including each Filing Seller (as defined herein) filed voluntary petitions for relief under chapter 11 of the Bankruptcy Code (as defined herein), and the senior management and the Board of Directors of Enron have since determined that an immediate sale of the Assets pursuant to section 363 of the Bankruptcy Code is necessary and urgent in order to preserve the value inherent in the Business ultimately available to the creditors and shareholders of Enron and certain of its subsidiaries; and</w:t>
      </w:r>
    </w:p>
    <w:p>
      <w:pPr>
        <w:pStyle w:val="BodyText"/>
        <w:rPr/>
      </w:pPr>
      <w:r>
        <w:rPr/>
        <w:t xml:space="preserve">WHEREAS, concurrently herewith, the Bankruptcy Court is entering an order approving, among other things, the execution, delivery and performance by the Filing Sellers of this Agreement, the sale of the Assets to Buyer on the terms set forth herein, and the performance by the Filing Sellers of their respective obligations under this Agreement; </w:t>
      </w:r>
    </w:p>
    <w:p>
      <w:pPr>
        <w:pStyle w:val="BodyText"/>
        <w:rPr/>
      </w:pPr>
      <w:r>
        <w:rPr/>
        <w:t>NOW THEREFORE, in consideration of the premises and the representations, warranties, covenants and agreements contained herein, and for other good and valuable consideration, the receipt and sufficiency of which is hereby acknowledged, and intending to be legally bound hereby, the parties agree as follows:</w:t>
      </w:r>
    </w:p>
    <w:p>
      <w:pPr>
        <w:pStyle w:val="Heading1"/>
        <w:numPr>
          <w:ilvl w:val="0"/>
          <w:numId w:val="12"/>
        </w:numPr>
        <w:ind w:hanging="0" w:start="0"/>
        <w:rPr/>
      </w:pPr>
      <w:r>
        <w:rPr/>
        <w:br/>
        <w:br/>
        <w:t>Definitions</w:t>
      </w:r>
      <w:r>
        <w:fldChar w:fldCharType="begin"/>
      </w:r>
      <w:r>
        <w:rPr/>
        <w:instrText xml:space="preserve"> TC "ARTICLE 1_x000b__x000b_Definitions" \l 1 </w:instrText>
      </w:r>
      <w:r>
        <w:rPr/>
        <w:fldChar w:fldCharType="separate"/>
      </w:r>
      <w:r>
        <w:rPr/>
      </w:r>
      <w:r>
        <w:rPr/>
        <w:fldChar w:fldCharType="end"/>
      </w:r>
    </w:p>
    <w:p>
      <w:pPr>
        <w:pStyle w:val="Heading2"/>
        <w:numPr>
          <w:ilvl w:val="1"/>
          <w:numId w:val="12"/>
        </w:numPr>
        <w:ind w:hanging="0" w:start="0"/>
        <w:rPr/>
      </w:pPr>
      <w:r>
        <w:rPr>
          <w:u w:val="single"/>
        </w:rPr>
        <w:t>Definitions</w:t>
      </w:r>
      <w:r>
        <w:fldChar w:fldCharType="begin"/>
      </w:r>
      <w:r>
        <w:rPr/>
        <w:instrText xml:space="preserve"> TC "Section 1.1</w:instrText>
        <w:tab/>
        <w:instrText xml:space="preserve">Definitions</w:instrText>
        <w:tab/>
        <w:instrText xml:space="preserve">“ \f C \l “2" \l 1 </w:instrText>
      </w:r>
      <w:r>
        <w:rPr/>
        <w:fldChar w:fldCharType="separate"/>
      </w:r>
      <w:r>
        <w:rPr/>
      </w:r>
      <w:r>
        <w:rPr/>
        <w:fldChar w:fldCharType="end"/>
      </w:r>
      <w:bookmarkStart w:id="12" w:name="__RefHeading___Toc535051532"/>
      <w:bookmarkEnd w:id="12"/>
      <w:r>
        <w:rPr/>
        <w:t>.  As used in this Agreement the following terms shall have the following respective meanings:</w:t>
      </w:r>
    </w:p>
    <w:p>
      <w:pPr>
        <w:pStyle w:val="BodyText"/>
        <w:rPr/>
      </w:pPr>
      <w:r>
        <w:rPr/>
        <w:t>“</w:t>
      </w:r>
      <w:r>
        <w:rPr>
          <w:u w:val="single"/>
        </w:rPr>
        <w:t>Action</w:t>
      </w:r>
      <w:r>
        <w:rPr/>
        <w:t>” means any action, suit, arbitration, inquiry, proceeding or investigation by or before any Governmental Authority of any nature, civil, criminal, regulatory or otherwise, in law or in equity.</w:t>
      </w:r>
    </w:p>
    <w:p>
      <w:pPr>
        <w:pStyle w:val="BodyText"/>
        <w:rPr/>
      </w:pPr>
      <w:r>
        <w:rPr/>
        <w:t>“</w:t>
      </w:r>
      <w:r>
        <w:rPr>
          <w:u w:val="single"/>
        </w:rPr>
        <w:t>Adjusted Net Income</w:t>
      </w:r>
      <w:r>
        <w:rPr/>
        <w:t xml:space="preserve">,” with respect to any Fiscal Year, means 63% of Adjusted Pre-tax Income for such Fiscal Year; </w:t>
      </w:r>
      <w:r>
        <w:rPr>
          <w:u w:val="single"/>
        </w:rPr>
        <w:t>provided</w:t>
      </w:r>
      <w:r>
        <w:rPr/>
        <w:t xml:space="preserve">, </w:t>
      </w:r>
      <w:r>
        <w:rPr>
          <w:u w:val="single"/>
        </w:rPr>
        <w:t>however</w:t>
      </w:r>
      <w:r>
        <w:rPr/>
        <w:t>, that if the highest marginal U.S. federal income tax rate applicable to corporations (which is currently 35%) changes with respect to any Fiscal Year, the absolute amount of such change (i.e., 1% if the rate either increases to 36% or decreases to 34%) shall, in the event such marginal rate increases, be subtracted from the aforesaid 63% for such Fiscal Year, and, in the event such marginal rate decreases, be added to the aforesaid 63% for such Fiscal Year.</w:t>
      </w:r>
    </w:p>
    <w:p>
      <w:pPr>
        <w:pStyle w:val="BodyText"/>
        <w:rPr/>
      </w:pPr>
      <w:r>
        <w:rPr/>
        <w:t>“</w:t>
      </w:r>
      <w:r>
        <w:rPr>
          <w:u w:val="single"/>
        </w:rPr>
        <w:t>Adjusted Pre-tax Income</w:t>
      </w:r>
      <w:r>
        <w:rPr/>
        <w:t>,” with respect to any period, means the pre-tax net income of Buyer for such period calculated in accordance with GAAP consistent in all material respects with the accounting policies used by Citigroup in preparing management accounts for use in the preparation of the consolidated financial statements of Citigroup (including expenses for goods or services of the type or nature (though not necessarily the amount) included in the budget for the Business previously provided by Seller to Buyer as set forth in Schedule 1.1 whether such goods or services are provided to Buyer (a) by Buyer, (b) by unaffiliated third parties or (c) by Citigroup or its Affiliates and charged to Buyer in a manner consistent in all material respects with Citigroup’s policies generally applicable to its Subsidiaries in effect on the date hereof (as may be modified from time to time by Citigroup with respect to its Subsidiaries generally)) less (1) an annual management fee of $40 million to an Affiliate of Citigroup (subject to annual adjustments based on the producer price index) (pro rated for any period less than a year), (2) a working capital charge at a rate equal to the rate Citigroup charges its similar trading businesses based on average working capital used or employed by the Business during such period (in excess of the Enron Account, if any) and (3) the absolute value of any negative Adjusted Pre-tax Income accrued as of the end of the prior Fiscal Year, in each case as calculated by Buyer in good faith.</w:t>
      </w:r>
    </w:p>
    <w:p>
      <w:pPr>
        <w:pStyle w:val="BodyText"/>
        <w:rPr/>
      </w:pPr>
      <w:r>
        <w:rPr/>
        <w:t>“</w:t>
      </w:r>
      <w:r>
        <w:rPr>
          <w:u w:val="single"/>
        </w:rPr>
        <w:t>Affiliate</w:t>
      </w:r>
      <w:r>
        <w:rPr/>
        <w:t>” (and, with a correlative meaning, “</w:t>
      </w:r>
      <w:r>
        <w:rPr>
          <w:u w:val="single"/>
        </w:rPr>
        <w:t>affiliated</w:t>
      </w:r>
      <w:r>
        <w:rPr/>
        <w:t>”) means, with respect to any person, any direct or indirect subsidiary of such person, and any other person that directly, or through one or more intermediaries, controls or is controlled by or is under common control with such first person, and, if such a person is an individual, any member of the immediate family (including parents, spouse and children) of such individual and any trust whose principal beneficiary is such individual or one or more members of such immediate family and any person who is controlled by any such member or trust.  As used in this definition, “control” (including, with correlative meanings, “</w:t>
      </w:r>
      <w:r>
        <w:rPr>
          <w:u w:val="single"/>
        </w:rPr>
        <w:t>controlled by</w:t>
      </w:r>
      <w:r>
        <w:rPr/>
        <w:t>” and “</w:t>
      </w:r>
      <w:r>
        <w:rPr>
          <w:u w:val="single"/>
        </w:rPr>
        <w:t>under common control with</w:t>
      </w:r>
      <w:r>
        <w:rPr/>
        <w:t>”) means possession, directly or indirectly, of power to direct or cause the direction of management or policies (whether through ownership of securities or partnership or other ownership interests, by contract or otherwise).</w:t>
      </w:r>
    </w:p>
    <w:p>
      <w:pPr>
        <w:pStyle w:val="BodyText"/>
        <w:rPr/>
      </w:pPr>
      <w:r>
        <w:rPr/>
        <w:t>“</w:t>
      </w:r>
      <w:r>
        <w:rPr>
          <w:u w:val="single"/>
        </w:rPr>
        <w:t>Aggregate Shut Down Costs</w:t>
      </w:r>
      <w:r>
        <w:rPr/>
        <w:t>” means the sum of all Losses and Liabilities incurred in connection with any Business Shut Down, plus the cumulative absolute value of any negative Adjusted Pre-tax Income accrued on or prior to the date of such Business Shut Down.</w:t>
      </w:r>
    </w:p>
    <w:p>
      <w:pPr>
        <w:pStyle w:val="BodyText"/>
        <w:rPr/>
      </w:pPr>
      <w:r>
        <w:rPr/>
        <w:t>“</w:t>
      </w:r>
      <w:r>
        <w:rPr>
          <w:u w:val="single"/>
        </w:rPr>
        <w:t>Agreement</w:t>
      </w:r>
      <w:r>
        <w:rPr/>
        <w:t>” has the meaning set forth in the recitals hereto.</w:t>
      </w:r>
    </w:p>
    <w:p>
      <w:pPr>
        <w:pStyle w:val="BodyText"/>
        <w:rPr/>
      </w:pPr>
      <w:r>
        <w:rPr/>
        <w:t>“</w:t>
      </w:r>
      <w:r>
        <w:rPr>
          <w:u w:val="single"/>
        </w:rPr>
        <w:t>Allocation</w:t>
      </w:r>
      <w:r>
        <w:rPr/>
        <w:t>” has the meaning set forth in Section 2.5.</w:t>
      </w:r>
    </w:p>
    <w:p>
      <w:pPr>
        <w:pStyle w:val="BodyText"/>
        <w:rPr/>
      </w:pPr>
      <w:r>
        <w:rPr/>
        <w:t>“</w:t>
      </w:r>
      <w:r>
        <w:rPr>
          <w:u w:val="single"/>
        </w:rPr>
        <w:t>Annual Share</w:t>
      </w:r>
      <w:r>
        <w:rPr/>
        <w:t>” with respect to any Fiscal Year, shall mean the product of (a) the Enron Percentage as in effect for such Fiscal Year times (b) the Adjusted Pre-tax Income for such Fiscal Year.</w:t>
      </w:r>
    </w:p>
    <w:p>
      <w:pPr>
        <w:pStyle w:val="BodyText"/>
        <w:rPr/>
      </w:pPr>
      <w:r>
        <w:rPr/>
        <w:t>“</w:t>
      </w:r>
      <w:r>
        <w:rPr>
          <w:u w:val="single"/>
        </w:rPr>
        <w:t>Antitrust Laws</w:t>
      </w:r>
      <w:r>
        <w:rPr/>
        <w:t>” means and includes the Sherman Act, as amended, the Clayton Act, as amended, the HSR Act, the Federal Trade Commission Act, as amended, and all other federal, state, foreign and multinational (including European Community) statutes, rules, regulations, orders, decrees, administrative and judicial doctrines, and other laws that are designed or intended to prohibit, restrict or regulate actions having the purpose or effect of monopolization or restraint of trade.</w:t>
      </w:r>
    </w:p>
    <w:p>
      <w:pPr>
        <w:pStyle w:val="BodyText"/>
        <w:rPr/>
      </w:pPr>
      <w:r>
        <w:rPr/>
        <w:t>“</w:t>
      </w:r>
      <w:r>
        <w:rPr>
          <w:u w:val="single"/>
        </w:rPr>
        <w:t>Applicable Law</w:t>
      </w:r>
      <w:r>
        <w:rPr/>
        <w:t>” means all applicable provisions of all (a) constitutions, treaties, statutes, laws (including the common law), rules, regulations, by-laws, ordinances, codes or orders of any Governmental Authority, (b) Governmental Approvals and (c) orders, decisions, writs, injunctions, judgments, awards and decrees of or agreements with any Governmental Authority.</w:t>
      </w:r>
    </w:p>
    <w:p>
      <w:pPr>
        <w:pStyle w:val="BodyText"/>
        <w:rPr/>
      </w:pPr>
      <w:r>
        <w:rPr/>
        <w:t>“</w:t>
      </w:r>
      <w:r>
        <w:rPr>
          <w:u w:val="single"/>
        </w:rPr>
        <w:t>Applicable Multiple</w:t>
      </w:r>
      <w:r>
        <w:rPr/>
        <w:t xml:space="preserve">” means the lesser of (a) seven and (b) one-half of the Citigroup P/E Ratio (expressed to the nearest tenth) as of (i) March 31 of any year in which Buyer or Sellers exercise any rights set forth in Section 2.6(c)(i) or 2.6(c)(ii), (ii) March 31, 2011 in the case of a Full Termination Payment following the Fiscal Year ended December 31, 2010, or (iii) as of the date of any Sale Event or Securities Law Event; </w:t>
      </w:r>
      <w:r>
        <w:rPr>
          <w:u w:val="single"/>
        </w:rPr>
        <w:t>provided</w:t>
      </w:r>
      <w:r>
        <w:rPr/>
        <w:t>, that in the event that there shall be (x) any breach of Sellers’ representations and warranties contained in Section 3.6(e), any breach by Sellers of the covenant contained in Section 5.19 or a Third Party License shall otherwise come into existence and (y) any Intellectual Property exclusively licensed to Buyer or any of its Affiliates under the License Agreements is or has been commercially exploited by any Person in such a manner that, were such Person bound by the terms of Section 5.8, such Person would be in breach of the terms of Section 5.8, then the Applicable Multiple shall be reduced such that the number in clause (a) above shall be four, it being understood that such reduction shall be in addition to any other remedies Buyer may have hereunder in respect of such breach.</w:t>
      </w:r>
    </w:p>
    <w:p>
      <w:pPr>
        <w:pStyle w:val="BodyText"/>
        <w:rPr/>
      </w:pPr>
      <w:r>
        <w:rPr/>
        <w:t>“</w:t>
      </w:r>
      <w:r>
        <w:rPr>
          <w:u w:val="single"/>
        </w:rPr>
        <w:t>Asset Purchase</w:t>
      </w:r>
      <w:r>
        <w:rPr/>
        <w:t>” means the consummation of the transactions described in Section 2.1.</w:t>
      </w:r>
    </w:p>
    <w:p>
      <w:pPr>
        <w:pStyle w:val="BodyText"/>
        <w:rPr/>
      </w:pPr>
      <w:r>
        <w:rPr/>
        <w:t>“</w:t>
      </w:r>
      <w:r>
        <w:rPr>
          <w:u w:val="single"/>
        </w:rPr>
        <w:t>Assets</w:t>
      </w:r>
      <w:r>
        <w:rPr/>
        <w:t>” has the meaning set forth in Section 2.1.</w:t>
      </w:r>
    </w:p>
    <w:p>
      <w:pPr>
        <w:pStyle w:val="BodyText"/>
        <w:rPr/>
      </w:pPr>
      <w:r>
        <w:rPr/>
        <w:t>“</w:t>
      </w:r>
      <w:r>
        <w:rPr>
          <w:u w:val="single"/>
        </w:rPr>
        <w:t>Assignment and Assumption Agreement</w:t>
      </w:r>
      <w:r>
        <w:rPr/>
        <w:t>” means a Bill of Sale, Assignment and Assumption Agreement in such form as may be agreed by Buyer and Sellers.</w:t>
      </w:r>
    </w:p>
    <w:p>
      <w:pPr>
        <w:pStyle w:val="BodyText"/>
        <w:rPr>
          <w:b/>
        </w:rPr>
      </w:pPr>
      <w:r>
        <w:rPr/>
        <w:t>“</w:t>
      </w:r>
      <w:r>
        <w:rPr>
          <w:u w:val="single"/>
        </w:rPr>
        <w:t>Assumed Contracts</w:t>
      </w:r>
      <w:r>
        <w:rPr/>
        <w:t>” has the meaning set forth in Section 2.1(m).</w:t>
      </w:r>
    </w:p>
    <w:p>
      <w:pPr>
        <w:pStyle w:val="BodyText"/>
        <w:rPr/>
      </w:pPr>
      <w:r>
        <w:rPr/>
        <w:t>“</w:t>
      </w:r>
      <w:r>
        <w:rPr>
          <w:u w:val="single"/>
        </w:rPr>
        <w:t>Assumed Leases</w:t>
      </w:r>
      <w:r>
        <w:rPr/>
        <w:t>” has the meaning set forth in Section 3.11(a).</w:t>
      </w:r>
    </w:p>
    <w:p>
      <w:pPr>
        <w:pStyle w:val="BodyText"/>
        <w:rPr/>
      </w:pPr>
      <w:r>
        <w:rPr/>
        <w:t>“</w:t>
      </w:r>
      <w:r>
        <w:rPr>
          <w:u w:val="single"/>
        </w:rPr>
        <w:t>Assumed Liabilities</w:t>
      </w:r>
      <w:r>
        <w:rPr/>
        <w:t>” has the meaning set forth in Section 2.3.</w:t>
      </w:r>
    </w:p>
    <w:p>
      <w:pPr>
        <w:pStyle w:val="BodyText"/>
        <w:rPr/>
      </w:pPr>
      <w:r>
        <w:rPr/>
        <w:t>“</w:t>
      </w:r>
      <w:r>
        <w:rPr>
          <w:u w:val="single"/>
        </w:rPr>
        <w:t>Auditor’s Determination</w:t>
      </w:r>
      <w:r>
        <w:rPr/>
        <w:t>” has the meaning set forth in Section 2.7(a).</w:t>
      </w:r>
    </w:p>
    <w:p>
      <w:pPr>
        <w:pStyle w:val="BodyText"/>
        <w:rPr/>
      </w:pPr>
      <w:r>
        <w:rPr/>
        <w:t>“</w:t>
      </w:r>
      <w:r>
        <w:rPr>
          <w:u w:val="single"/>
        </w:rPr>
        <w:t>Bankruptcy Cases</w:t>
      </w:r>
      <w:r>
        <w:rPr/>
        <w:t>” means Bankruptcy Petition No. 01-16034-(AJG) in the Bankruptcy Court.</w:t>
      </w:r>
    </w:p>
    <w:p>
      <w:pPr>
        <w:pStyle w:val="BodyText"/>
        <w:rPr/>
      </w:pPr>
      <w:r>
        <w:rPr/>
        <w:t>“</w:t>
      </w:r>
      <w:r>
        <w:rPr>
          <w:u w:val="single"/>
        </w:rPr>
        <w:t>Bankruptcy Code</w:t>
      </w:r>
      <w:r>
        <w:rPr/>
        <w:t>” means Title 11 of the United States Code, as amended.</w:t>
      </w:r>
    </w:p>
    <w:p>
      <w:pPr>
        <w:pStyle w:val="BodyText"/>
        <w:rPr/>
      </w:pPr>
      <w:r>
        <w:rPr/>
        <w:t>“</w:t>
      </w:r>
      <w:r>
        <w:rPr>
          <w:u w:val="single"/>
        </w:rPr>
        <w:t>Bankruptcy Court</w:t>
      </w:r>
      <w:r>
        <w:rPr/>
        <w:t>” means the United States Bankruptcy Court for the Southern District of New York or any other court having jurisdiction over the Bankruptcy Cases from time to time.</w:t>
      </w:r>
    </w:p>
    <w:p>
      <w:pPr>
        <w:pStyle w:val="BodyText"/>
        <w:rPr/>
      </w:pPr>
      <w:r>
        <w:rPr/>
        <w:t>“</w:t>
      </w:r>
      <w:r>
        <w:rPr>
          <w:u w:val="single"/>
        </w:rPr>
        <w:t>Bankruptcy Court Approval</w:t>
      </w:r>
      <w:r>
        <w:rPr/>
        <w:t>” has the meaning set forth in Section 8.4(a).</w:t>
      </w:r>
    </w:p>
    <w:p>
      <w:pPr>
        <w:pStyle w:val="BodyText"/>
        <w:rPr/>
      </w:pPr>
      <w:r>
        <w:rPr/>
        <w:t>“</w:t>
      </w:r>
      <w:r>
        <w:rPr>
          <w:u w:val="single"/>
        </w:rPr>
        <w:t>Business</w:t>
      </w:r>
      <w:r>
        <w:rPr/>
        <w:t>” has the meaning set forth in the recitals hereto.</w:t>
      </w:r>
    </w:p>
    <w:p>
      <w:pPr>
        <w:pStyle w:val="BodyText"/>
        <w:rPr/>
      </w:pPr>
      <w:r>
        <w:rPr/>
        <w:t>“</w:t>
      </w:r>
      <w:r>
        <w:rPr>
          <w:u w:val="single"/>
        </w:rPr>
        <w:t>Business Benefit Plan</w:t>
      </w:r>
      <w:r>
        <w:rPr/>
        <w:t xml:space="preserve">” has the meaning set forth in Section 3.12(a). </w:t>
      </w:r>
    </w:p>
    <w:p>
      <w:pPr>
        <w:pStyle w:val="BodyText"/>
        <w:rPr/>
      </w:pPr>
      <w:r>
        <w:rPr/>
        <w:t>“</w:t>
      </w:r>
      <w:r>
        <w:rPr>
          <w:u w:val="single"/>
        </w:rPr>
        <w:t>Business Day</w:t>
      </w:r>
      <w:r>
        <w:rPr/>
        <w:t>” means a day other than a Saturday, Sunday or other day on which commercial banks in New York City are authorized or required by law to close.  Any event the scheduled occurrence of which would fall on a day that is not a Business Day shall be deferred until the next succeeding Business Day.</w:t>
      </w:r>
    </w:p>
    <w:p>
      <w:pPr>
        <w:pStyle w:val="BodyText"/>
        <w:rPr/>
      </w:pPr>
      <w:r>
        <w:rPr/>
        <w:t>“</w:t>
      </w:r>
      <w:r>
        <w:rPr>
          <w:u w:val="single"/>
        </w:rPr>
        <w:t>Business Intellectual Property</w:t>
      </w:r>
      <w:r>
        <w:rPr/>
        <w:t>” means all Intellectual Property used or held for use in, or necessary or appropriate for the conduct of, the Business, and all Licensed Intellectual Property, except for such Intellectual Property as may constitute Excluded Assets.</w:t>
      </w:r>
    </w:p>
    <w:p>
      <w:pPr>
        <w:pStyle w:val="BodyText"/>
        <w:rPr/>
      </w:pPr>
      <w:r>
        <w:rPr/>
        <w:t>“</w:t>
      </w:r>
      <w:r>
        <w:rPr>
          <w:u w:val="single"/>
        </w:rPr>
        <w:t>Business Leases</w:t>
      </w:r>
      <w:r>
        <w:rPr/>
        <w:t>” has the meaning set forth in Section 3.11(a).</w:t>
      </w:r>
    </w:p>
    <w:p>
      <w:pPr>
        <w:pStyle w:val="BodyText"/>
        <w:rPr/>
      </w:pPr>
      <w:r>
        <w:rPr/>
        <w:t>“</w:t>
      </w:r>
      <w:r>
        <w:rPr>
          <w:u w:val="single"/>
        </w:rPr>
        <w:t>Business Real Estate</w:t>
      </w:r>
      <w:r>
        <w:rPr/>
        <w:t>” has the meaning set forth in Section 3.11(a).</w:t>
      </w:r>
    </w:p>
    <w:p>
      <w:pPr>
        <w:pStyle w:val="BodyText"/>
        <w:rPr/>
      </w:pPr>
      <w:r>
        <w:rPr/>
        <w:t>“</w:t>
      </w:r>
      <w:r>
        <w:rPr>
          <w:u w:val="single"/>
        </w:rPr>
        <w:t>Business Shut Down</w:t>
      </w:r>
      <w:r>
        <w:rPr/>
        <w:t>” has the meaning set forth in Section 2.6(c)(iv).</w:t>
      </w:r>
    </w:p>
    <w:p>
      <w:pPr>
        <w:pStyle w:val="BodyText"/>
        <w:rPr/>
      </w:pPr>
      <w:r>
        <w:rPr/>
        <w:t>“</w:t>
      </w:r>
      <w:r>
        <w:rPr>
          <w:u w:val="single"/>
        </w:rPr>
        <w:t>Buyer</w:t>
      </w:r>
      <w:r>
        <w:rPr/>
        <w:t>” has the meaning set forth in the recitals hereto.</w:t>
      </w:r>
    </w:p>
    <w:p>
      <w:pPr>
        <w:pStyle w:val="BodyText"/>
        <w:rPr/>
      </w:pPr>
      <w:r>
        <w:rPr/>
        <w:t>“</w:t>
      </w:r>
      <w:r>
        <w:rPr>
          <w:u w:val="single"/>
        </w:rPr>
        <w:t>Buyer Indemnitees</w:t>
      </w:r>
      <w:r>
        <w:rPr/>
        <w:t>” has the meaning set forth in Section 10.1.</w:t>
      </w:r>
    </w:p>
    <w:p>
      <w:pPr>
        <w:pStyle w:val="BodyText"/>
        <w:rPr/>
      </w:pPr>
      <w:r>
        <w:rPr/>
        <w:t>“</w:t>
      </w:r>
      <w:r>
        <w:rPr>
          <w:u w:val="single"/>
        </w:rPr>
        <w:t>Canadian Assets</w:t>
      </w:r>
      <w:r>
        <w:rPr/>
        <w:t>” means any Assets to be transferred hereunder by any Canadian Seller.</w:t>
      </w:r>
    </w:p>
    <w:p>
      <w:pPr>
        <w:pStyle w:val="BodyText"/>
        <w:rPr/>
      </w:pPr>
      <w:r>
        <w:rPr/>
        <w:t>“</w:t>
      </w:r>
      <w:r>
        <w:rPr>
          <w:u w:val="single"/>
        </w:rPr>
        <w:t>Canadian Buyer</w:t>
      </w:r>
      <w:r>
        <w:rPr/>
        <w:t>” has the meaning set forth in the preamble hereto.</w:t>
      </w:r>
    </w:p>
    <w:p>
      <w:pPr>
        <w:pStyle w:val="BodyText"/>
        <w:rPr/>
      </w:pPr>
      <w:r>
        <w:rPr/>
        <w:t>“</w:t>
      </w:r>
      <w:r>
        <w:rPr>
          <w:u w:val="single"/>
        </w:rPr>
        <w:t>Canadian Court</w:t>
      </w:r>
      <w:r>
        <w:rPr/>
        <w:t>” means a court of competent jurisdiction in Canada having authority over any Canadian Seller or its creditors or the Canadian Assets.</w:t>
      </w:r>
    </w:p>
    <w:p>
      <w:pPr>
        <w:pStyle w:val="BodyText"/>
        <w:rPr/>
      </w:pPr>
      <w:r>
        <w:rPr/>
        <w:t>“</w:t>
      </w:r>
      <w:r>
        <w:rPr>
          <w:u w:val="single"/>
        </w:rPr>
        <w:t>Canadian Seller</w:t>
      </w:r>
      <w:r>
        <w:rPr/>
        <w:t>” means any Seller that is organized under the laws of Canada or any province or territory thereof.</w:t>
      </w:r>
    </w:p>
    <w:p>
      <w:pPr>
        <w:pStyle w:val="BodyText"/>
        <w:rPr/>
      </w:pPr>
      <w:r>
        <w:rPr/>
        <w:t>“</w:t>
      </w:r>
      <w:r>
        <w:rPr>
          <w:u w:val="single"/>
        </w:rPr>
        <w:t>CERCLA</w:t>
      </w:r>
      <w:r>
        <w:rPr/>
        <w:t xml:space="preserve">” means the Comprehensive Environmental Response, Compensation and Liability Act, as amended, 42 U.S.C. § 9601 </w:t>
      </w:r>
      <w:r>
        <w:rPr>
          <w:i/>
        </w:rPr>
        <w:t>et seq</w:t>
      </w:r>
      <w:r>
        <w:rPr/>
        <w:t>.</w:t>
      </w:r>
    </w:p>
    <w:p>
      <w:pPr>
        <w:pStyle w:val="BodyText"/>
        <w:rPr/>
      </w:pPr>
      <w:r>
        <w:rPr/>
        <w:t>“</w:t>
      </w:r>
      <w:r>
        <w:rPr>
          <w:u w:val="single"/>
        </w:rPr>
        <w:t>Citigroup</w:t>
      </w:r>
      <w:r>
        <w:rPr/>
        <w:t>” means Citigroup Inc., a Delaware corporation.</w:t>
      </w:r>
    </w:p>
    <w:p>
      <w:pPr>
        <w:pStyle w:val="BodyText"/>
        <w:rPr/>
      </w:pPr>
      <w:r>
        <w:rPr/>
        <w:t>“</w:t>
      </w:r>
      <w:r>
        <w:rPr>
          <w:u w:val="single"/>
        </w:rPr>
        <w:t>Citigroup P/E Ratio</w:t>
      </w:r>
      <w:r>
        <w:rPr/>
        <w:t xml:space="preserve">” means, at any date, the quotient of (a) the average per share closing price during regular trading hours for Citigroup’s common stock as reported on the New York Stock Exchange composite tape for the 20 trading days immediately preceding such date, over (b) Citigroup’s aggregate consolidated diluted earnings per share for the four most recent fiscal quarters immediately preceding such date for which earnings have been publicly announced as of such date; </w:t>
      </w:r>
      <w:r>
        <w:rPr>
          <w:u w:val="single"/>
        </w:rPr>
        <w:t>provided</w:t>
      </w:r>
      <w:r>
        <w:rPr/>
        <w:t>, that if such aggregate consolidated diluted earnings per share are negative, they shall be deemed to be $.01 for purposes of this calculation.</w:t>
      </w:r>
    </w:p>
    <w:p>
      <w:pPr>
        <w:pStyle w:val="BodyText"/>
        <w:rPr/>
      </w:pPr>
      <w:r>
        <w:rPr/>
        <w:t>“</w:t>
      </w:r>
      <w:r>
        <w:rPr>
          <w:u w:val="single"/>
        </w:rPr>
        <w:t>Claims</w:t>
      </w:r>
      <w:r>
        <w:rPr/>
        <w:t>” has the meaning set forth in Section 2.2(e).</w:t>
      </w:r>
    </w:p>
    <w:p>
      <w:pPr>
        <w:pStyle w:val="BodyText"/>
        <w:rPr/>
      </w:pPr>
      <w:r>
        <w:rPr/>
        <w:t>“</w:t>
      </w:r>
      <w:r>
        <w:rPr>
          <w:u w:val="single"/>
        </w:rPr>
        <w:t>Closing</w:t>
      </w:r>
      <w:r>
        <w:rPr/>
        <w:t>” has the meaning set forth in Section 2.8.</w:t>
      </w:r>
    </w:p>
    <w:p>
      <w:pPr>
        <w:pStyle w:val="BodyText"/>
        <w:rPr/>
      </w:pPr>
      <w:r>
        <w:rPr/>
        <w:t>“</w:t>
      </w:r>
      <w:r>
        <w:rPr>
          <w:u w:val="single"/>
        </w:rPr>
        <w:t>Closing Date</w:t>
      </w:r>
      <w:r>
        <w:rPr/>
        <w:t>” means the date on which the Closing occurs.</w:t>
      </w:r>
    </w:p>
    <w:p>
      <w:pPr>
        <w:pStyle w:val="BodyText"/>
        <w:rPr/>
      </w:pPr>
      <w:r>
        <w:rPr/>
        <w:t>“</w:t>
      </w:r>
      <w:r>
        <w:rPr>
          <w:u w:val="single"/>
        </w:rPr>
        <w:t>Code</w:t>
      </w:r>
      <w:r>
        <w:rPr/>
        <w:t>” means the Internal Revenue Code of 1986, as amended.</w:t>
      </w:r>
    </w:p>
    <w:p>
      <w:pPr>
        <w:pStyle w:val="BodyText"/>
        <w:rPr/>
      </w:pPr>
      <w:r>
        <w:rPr/>
        <w:t>“</w:t>
      </w:r>
      <w:r>
        <w:rPr>
          <w:u w:val="single"/>
        </w:rPr>
        <w:t>Consent</w:t>
      </w:r>
      <w:r>
        <w:rPr/>
        <w:t>” means any consent, approval, authorization, waiver, permit, grant, franchise, concession, agreement, license, exemption or order of, registration, certificate, declaration or filing with, or report or notice to, any Person, including any Governmental Authority.</w:t>
      </w:r>
    </w:p>
    <w:p>
      <w:pPr>
        <w:pStyle w:val="BodyText"/>
        <w:rPr/>
      </w:pPr>
      <w:r>
        <w:rPr/>
        <w:t>“</w:t>
      </w:r>
      <w:r>
        <w:rPr>
          <w:u w:val="single"/>
        </w:rPr>
        <w:t>Contracts</w:t>
      </w:r>
      <w:r>
        <w:rPr/>
        <w:t>” has the meaning set forth in Section 3.10(a).</w:t>
      </w:r>
    </w:p>
    <w:p>
      <w:pPr>
        <w:pStyle w:val="BodyText"/>
        <w:rPr/>
      </w:pPr>
      <w:r>
        <w:rPr/>
        <w:t>“</w:t>
      </w:r>
      <w:r>
        <w:rPr>
          <w:u w:val="single"/>
        </w:rPr>
        <w:t>Distributable Annual Share</w:t>
      </w:r>
      <w:r>
        <w:rPr/>
        <w:t>” has the meaning set forth in Section 2.6(b).</w:t>
      </w:r>
    </w:p>
    <w:p>
      <w:pPr>
        <w:pStyle w:val="BodyText"/>
        <w:rPr/>
      </w:pPr>
      <w:r>
        <w:rPr/>
        <w:t>“</w:t>
      </w:r>
      <w:r>
        <w:rPr>
          <w:u w:val="single"/>
        </w:rPr>
        <w:t>Domestic Corporation</w:t>
      </w:r>
      <w:r>
        <w:rPr/>
        <w:t>” has the meaning set forth in Section 7.2(b).</w:t>
      </w:r>
    </w:p>
    <w:p>
      <w:pPr>
        <w:pStyle w:val="BodyText"/>
        <w:rPr/>
      </w:pPr>
      <w:r>
        <w:rPr/>
        <w:t>“</w:t>
      </w:r>
      <w:r>
        <w:rPr>
          <w:u w:val="single"/>
        </w:rPr>
        <w:t>EES</w:t>
      </w:r>
      <w:r>
        <w:rPr/>
        <w:t>” has the meaning set forth in Section 5.8(a)(ii).</w:t>
      </w:r>
    </w:p>
    <w:p>
      <w:pPr>
        <w:pStyle w:val="BodyText"/>
        <w:rPr/>
      </w:pPr>
      <w:r>
        <w:rPr/>
        <w:t>“</w:t>
      </w:r>
      <w:r>
        <w:rPr>
          <w:u w:val="single"/>
        </w:rPr>
        <w:t>Effective Time of Employment</w:t>
      </w:r>
      <w:r>
        <w:rPr/>
        <w:t>” has the meaning set forth in Section 6.1(b).</w:t>
      </w:r>
    </w:p>
    <w:p>
      <w:pPr>
        <w:pStyle w:val="BodyText"/>
        <w:rPr/>
      </w:pPr>
      <w:r>
        <w:rPr/>
        <w:t>“</w:t>
      </w:r>
      <w:r>
        <w:rPr>
          <w:u w:val="single"/>
        </w:rPr>
        <w:t>Employee</w:t>
      </w:r>
      <w:r>
        <w:rPr/>
        <w:t>” means any person employed by Sellers, whether in a full-time, part-time, or temporary capacity, in the operation of the Business pursuant to any contract, agreement or other arrangement, including an “at will” arrangement.</w:t>
      </w:r>
    </w:p>
    <w:p>
      <w:pPr>
        <w:pStyle w:val="BodyText"/>
        <w:rPr/>
      </w:pPr>
      <w:r>
        <w:rPr/>
        <w:t>“</w:t>
      </w:r>
      <w:r>
        <w:rPr>
          <w:u w:val="single"/>
        </w:rPr>
        <w:t>Employee Benefit Plan</w:t>
      </w:r>
      <w:r>
        <w:rPr/>
        <w:t>” means any employee benefit plan, program, policy, practices, or other arrangement providing benefits to any current or former employee, officer or director of Sellers or any of their Affiliates or any beneficiary or dependent thereof that is sponsored or maintained by Sellers or any of their Affiliates or to which Sellers or any of their Affiliates contributes or is obligated to contribute, whether or not written, including any employee welfare benefit plan within the meaning of section 3(1) of ERISA, any employee pension benefit plan within the meaning of section 3(2) of ERISA (whether or not such plan is subject to ERISA) and any bonus, incentive, deferred compensation, vacation, stock purchase, stock option, severance, employment, change of control or fringe benefit plan, program or agreement.</w:t>
      </w:r>
    </w:p>
    <w:p>
      <w:pPr>
        <w:pStyle w:val="BodyText"/>
        <w:rPr/>
      </w:pPr>
      <w:r>
        <w:rPr>
          <w:rFonts w:cs="CG Times" w:ascii="CG Times" w:hAnsi="CG Times"/>
        </w:rPr>
        <w:t>“</w:t>
      </w:r>
      <w:r>
        <w:rPr>
          <w:rFonts w:cs="CG Times" w:ascii="CG Times" w:hAnsi="CG Times"/>
          <w:u w:val="single"/>
        </w:rPr>
        <w:t>Employment Agreement</w:t>
      </w:r>
      <w:r>
        <w:rPr>
          <w:rFonts w:cs="CG Times" w:ascii="CG Times" w:hAnsi="CG Times"/>
        </w:rPr>
        <w:t>” means a contract, offer, letter or agreement, whether written or oral, of any Seller or any of its Affiliates with or addressed to any Employee pursuant to which any Seller or any of its Affiliates has any actual or contingent liability or obligation to provide compensation, benefits, severance, termination or change of control pay and/or benefits in consideration for past, present or future services.</w:t>
      </w:r>
    </w:p>
    <w:p>
      <w:pPr>
        <w:pStyle w:val="BodyText"/>
        <w:rPr/>
      </w:pPr>
      <w:r>
        <w:rPr/>
        <w:t>“</w:t>
      </w:r>
      <w:r>
        <w:rPr>
          <w:u w:val="single"/>
        </w:rPr>
        <w:t>ENA</w:t>
      </w:r>
      <w:r>
        <w:rPr/>
        <w:t xml:space="preserve">” has the meaning set forth in the recitals hereto. </w:t>
      </w:r>
    </w:p>
    <w:p>
      <w:pPr>
        <w:pStyle w:val="BodyText"/>
        <w:rPr/>
      </w:pPr>
      <w:r>
        <w:rPr/>
        <w:t>“</w:t>
      </w:r>
      <w:r>
        <w:rPr>
          <w:u w:val="single"/>
        </w:rPr>
        <w:t>Encumbrances</w:t>
      </w:r>
      <w:r>
        <w:rPr/>
        <w:t>” means mortgages, pledges, liens, encumbrances, restrictions upon voting or transfer, security interests, claims, charges, options, rights of first refusal, rights of use or occupancy or other legal or equitable encumbrances, whether actual or inchoate, and any other matters affecting title (including, in the case of real property, rights-of-way, easements and encroachments, and in the case of Intellectual Property, restrictions or limitations on ownership rights, rights of use and licenses to third parties ) or any other interest in property.</w:t>
      </w:r>
    </w:p>
    <w:p>
      <w:pPr>
        <w:pStyle w:val="BodyText"/>
        <w:rPr/>
      </w:pPr>
      <w:r>
        <w:rPr/>
        <w:t>“</w:t>
      </w:r>
      <w:r>
        <w:rPr>
          <w:u w:val="single"/>
        </w:rPr>
        <w:t>Enron</w:t>
      </w:r>
      <w:r>
        <w:rPr/>
        <w:t xml:space="preserve">” has the meaning set forth in the recitals hereto. </w:t>
      </w:r>
    </w:p>
    <w:p>
      <w:pPr>
        <w:pStyle w:val="BodyText"/>
        <w:rPr/>
      </w:pPr>
      <w:r>
        <w:rPr/>
        <w:t>“</w:t>
      </w:r>
      <w:r>
        <w:rPr>
          <w:u w:val="single"/>
        </w:rPr>
        <w:t>Enron Account</w:t>
      </w:r>
      <w:r>
        <w:rPr/>
        <w:t>” has the meaning set forth in Section 2.6(c)(i).</w:t>
      </w:r>
    </w:p>
    <w:p>
      <w:pPr>
        <w:pStyle w:val="BodyText"/>
        <w:rPr/>
      </w:pPr>
      <w:r>
        <w:rPr/>
        <w:t>“</w:t>
      </w:r>
      <w:r>
        <w:rPr>
          <w:u w:val="single"/>
        </w:rPr>
        <w:t>Enron Percentage</w:t>
      </w:r>
      <w:r>
        <w:rPr/>
        <w:t>” has the meaning set forth in Section 2.6(b).</w:t>
      </w:r>
    </w:p>
    <w:p>
      <w:pPr>
        <w:pStyle w:val="BodyText"/>
        <w:rPr/>
      </w:pPr>
      <w:r>
        <w:rPr/>
        <w:t>“</w:t>
      </w:r>
      <w:r>
        <w:rPr>
          <w:u w:val="single"/>
        </w:rPr>
        <w:t>Environmental Laws</w:t>
      </w:r>
      <w:r>
        <w:rPr/>
        <w:t>” means all Applicable Laws relating to the protection of the environment, to human health and safety (including of employees and the public generally), or to any emission, discharge, generation, processing, storage, holding, abatement, existence, Release, threatened release or transportation of any Hazardous Substances, including (a) CERCLA, the Resource Conservation and Recovery Act, and the OSHA, and (b) all other requirements pertaining to reporting, licensing, permitting, investigation or remediation of emissions, discharges, Releases or threatened Releases of Hazardous Substances into the air, surface water, groundwater or land, or relating to the manufacture, processing, distribution, use, sale, treatment, receipt, storage, disposal, transport or handling of Hazardous Substances.</w:t>
      </w:r>
    </w:p>
    <w:p>
      <w:pPr>
        <w:pStyle w:val="BodyText"/>
        <w:rPr/>
      </w:pPr>
      <w:r>
        <w:rPr/>
        <w:t>“</w:t>
      </w:r>
      <w:r>
        <w:rPr>
          <w:u w:val="single"/>
        </w:rPr>
        <w:t>ERISA</w:t>
      </w:r>
      <w:r>
        <w:rPr/>
        <w:t>” means the Employee Retirement Income Security Act of 1974, as amended, and the rules and regulations promulgated thereunder.</w:t>
      </w:r>
    </w:p>
    <w:p>
      <w:pPr>
        <w:pStyle w:val="BodyText"/>
        <w:rPr/>
      </w:pPr>
      <w:r>
        <w:rPr/>
        <w:t>“</w:t>
      </w:r>
      <w:r>
        <w:rPr>
          <w:u w:val="single"/>
        </w:rPr>
        <w:t>Excess Amount</w:t>
      </w:r>
      <w:r>
        <w:rPr/>
        <w:t>” has the meaning set forth in Section 2.6(c)(i).</w:t>
      </w:r>
    </w:p>
    <w:p>
      <w:pPr>
        <w:pStyle w:val="BodyText"/>
        <w:rPr/>
      </w:pPr>
      <w:r>
        <w:rPr/>
        <w:t>“</w:t>
      </w:r>
      <w:r>
        <w:rPr>
          <w:u w:val="single"/>
        </w:rPr>
        <w:t>Excluded Assets</w:t>
      </w:r>
      <w:r>
        <w:rPr/>
        <w:t>” has the meaning set forth in Section 2.2.</w:t>
      </w:r>
    </w:p>
    <w:p>
      <w:pPr>
        <w:pStyle w:val="BodyText"/>
        <w:rPr/>
      </w:pPr>
      <w:r>
        <w:rPr/>
        <w:t>“</w:t>
      </w:r>
      <w:r>
        <w:rPr>
          <w:u w:val="single"/>
        </w:rPr>
        <w:t>Excluded Liabilities</w:t>
      </w:r>
      <w:r>
        <w:rPr/>
        <w:t>” has the meaning set forth in Section 2.4.</w:t>
      </w:r>
    </w:p>
    <w:p>
      <w:pPr>
        <w:pStyle w:val="BodyText"/>
        <w:rPr/>
      </w:pPr>
      <w:r>
        <w:rPr/>
        <w:t>“</w:t>
      </w:r>
      <w:r>
        <w:rPr>
          <w:u w:val="single"/>
        </w:rPr>
        <w:t>Excluded Taxes</w:t>
      </w:r>
      <w:r>
        <w:rPr/>
        <w:t xml:space="preserve">” means any and all (a) Taxes relating to the Business, the Assets or the Assumed Liabilities for any Pre-Closing Tax Period and (b) any Taxes of any of the Sellers or any of their respective Affiliates for any period.  </w:t>
      </w:r>
    </w:p>
    <w:p>
      <w:pPr>
        <w:pStyle w:val="BodyText"/>
        <w:rPr/>
      </w:pPr>
      <w:r>
        <w:rPr/>
        <w:t>“</w:t>
      </w:r>
      <w:r>
        <w:rPr>
          <w:u w:val="single"/>
        </w:rPr>
        <w:t>Filing Date</w:t>
      </w:r>
      <w:r>
        <w:rPr/>
        <w:t>” means the date on which a Filing Seller filed a voluntary petition for relief under chapter 11 of the Bankruptcy Code.</w:t>
      </w:r>
    </w:p>
    <w:p>
      <w:pPr>
        <w:pStyle w:val="BodyText"/>
        <w:rPr/>
      </w:pPr>
      <w:r>
        <w:rPr/>
        <w:t>“</w:t>
      </w:r>
      <w:r>
        <w:rPr>
          <w:u w:val="single"/>
        </w:rPr>
        <w:t>Filing Sellers</w:t>
      </w:r>
      <w:r>
        <w:rPr/>
        <w:t>” means the Sellers which have filed a Bankruptcy Case.</w:t>
      </w:r>
    </w:p>
    <w:p>
      <w:pPr>
        <w:pStyle w:val="BodyText"/>
        <w:rPr/>
      </w:pPr>
      <w:r>
        <w:rPr/>
        <w:t>“</w:t>
      </w:r>
      <w:r>
        <w:rPr>
          <w:u w:val="single"/>
        </w:rPr>
        <w:t>Final Order</w:t>
      </w:r>
      <w:r>
        <w:rPr/>
        <w:t xml:space="preserve">” means an order or judgment of the Bankruptcy Court (a) that is not the subject of a pending appeal, petition for </w:t>
      </w:r>
      <w:r>
        <w:rPr>
          <w:i/>
        </w:rPr>
        <w:t>certiorari</w:t>
      </w:r>
      <w:r>
        <w:rPr/>
        <w:t xml:space="preserve">, or other proceedings for review, rehearing, or reargument, (b) that has not been reversed, stayed, modified or amended, and (c) respecting which the time to appeal, to petition for </w:t>
      </w:r>
      <w:r>
        <w:rPr>
          <w:i/>
        </w:rPr>
        <w:t>certiorari</w:t>
      </w:r>
      <w:r>
        <w:rPr/>
        <w:t xml:space="preserve"> or to seek review, rehearing or reargument shall have expired, as a result of which such order shall have become final in accordance with Rule 8002 of the Federal Rules of Bankruptcy Procedure and other Applicable Laws.</w:t>
      </w:r>
    </w:p>
    <w:p>
      <w:pPr>
        <w:pStyle w:val="BodyText"/>
        <w:rPr/>
      </w:pPr>
      <w:r>
        <w:rPr/>
        <w:t>“</w:t>
      </w:r>
      <w:r>
        <w:rPr>
          <w:u w:val="single"/>
        </w:rPr>
        <w:t>Financial Products</w:t>
      </w:r>
      <w:r>
        <w:rPr/>
        <w:t xml:space="preserve">” means all </w:t>
      </w:r>
      <w:r>
        <w:rPr>
          <w:lang w:eastAsia="en-US"/>
        </w:rPr>
        <w:t>securities (whether debt or equity), indebtedness, currencies (whether domestic or foreign) and rates of exchange, insurance, and interest rates, together with any commodities or derivative instruments that may be related thereto, or to any index thereof, or derived therefrom, or from any index thereof, and all other derivative products (including options) that by terms require cash settlement, anywhere in the world.</w:t>
      </w:r>
    </w:p>
    <w:p>
      <w:pPr>
        <w:pStyle w:val="BodyText"/>
        <w:rPr/>
      </w:pPr>
      <w:r>
        <w:rPr/>
        <w:t>“</w:t>
      </w:r>
      <w:r>
        <w:rPr>
          <w:u w:val="single"/>
        </w:rPr>
        <w:t>FIRPTA Affidavit</w:t>
      </w:r>
      <w:r>
        <w:rPr/>
        <w:t>” has the meaning set forth in Section 7.2(b).</w:t>
      </w:r>
    </w:p>
    <w:p>
      <w:pPr>
        <w:pStyle w:val="BodyText"/>
        <w:tabs>
          <w:tab w:val="clear" w:pos="720"/>
          <w:tab w:val="left" w:pos="1560" w:leader="none"/>
        </w:tabs>
        <w:rPr/>
      </w:pPr>
      <w:r>
        <w:rPr/>
        <w:t>“</w:t>
      </w:r>
      <w:r>
        <w:rPr>
          <w:u w:val="single"/>
        </w:rPr>
        <w:t>Fiscal Year</w:t>
      </w:r>
      <w:r>
        <w:rPr/>
        <w:t>” means the fiscal year of Buyer as established for accounting purposes by its Board of Directors.</w:t>
      </w:r>
    </w:p>
    <w:p>
      <w:pPr>
        <w:pStyle w:val="BodyText"/>
        <w:tabs>
          <w:tab w:val="clear" w:pos="720"/>
          <w:tab w:val="left" w:pos="1560" w:leader="none"/>
        </w:tabs>
        <w:rPr/>
      </w:pPr>
      <w:r>
        <w:rPr/>
        <w:t>“</w:t>
      </w:r>
      <w:r>
        <w:rPr>
          <w:u w:val="single"/>
        </w:rPr>
        <w:t>Floor Amount</w:t>
      </w:r>
      <w:r>
        <w:rPr/>
        <w:t>” has the meaning set forth in Section 2.6(c)(i).</w:t>
      </w:r>
    </w:p>
    <w:p>
      <w:pPr>
        <w:pStyle w:val="BodyText"/>
        <w:tabs>
          <w:tab w:val="clear" w:pos="720"/>
          <w:tab w:val="left" w:pos="1560" w:leader="none"/>
        </w:tabs>
        <w:rPr/>
      </w:pPr>
      <w:r>
        <w:rPr/>
        <w:t>“</w:t>
      </w:r>
      <w:r>
        <w:rPr>
          <w:u w:val="single"/>
        </w:rPr>
        <w:t>Full Termination Payment</w:t>
      </w:r>
      <w:r>
        <w:rPr/>
        <w:t xml:space="preserve">” means the product of (a) the Full Termination Value times (b) the Enron Percentage at the time of such Full Termination Payment; </w:t>
      </w:r>
      <w:r>
        <w:rPr>
          <w:u w:val="single"/>
        </w:rPr>
        <w:t>provided</w:t>
      </w:r>
      <w:r>
        <w:rPr/>
        <w:t xml:space="preserve"> that if the Full Termination Payment, together with any Partial Termination Payment previously made, would otherwise be less than the Enron Account at the time of such Full Termination Payment (but adding back any reduction in the Enron Account made in connection with any Partial Termination Payment), then the Full Termination Payment shall be increased by the amount of such deficit.</w:t>
      </w:r>
    </w:p>
    <w:p>
      <w:pPr>
        <w:pStyle w:val="BodyText"/>
        <w:tabs>
          <w:tab w:val="clear" w:pos="720"/>
          <w:tab w:val="left" w:pos="1560" w:leader="none"/>
        </w:tabs>
        <w:rPr/>
      </w:pPr>
      <w:r>
        <w:rPr/>
        <w:t>“</w:t>
      </w:r>
      <w:r>
        <w:rPr>
          <w:u w:val="single"/>
        </w:rPr>
        <w:t>Full Termination Value</w:t>
      </w:r>
      <w:r>
        <w:rPr/>
        <w:t>” shall equal an amount which is the greater of (a) the product of (i) 50% of the sum of Adjusted Net Income for the most recently completed eight full fiscal quarters ending prior to the date of the Sale Event or Securities Law Event, if applicable, (or, if any Partial Termination Payment had previously been made, the sum of Adjusted Net Income for the most recently completed four full fiscal quarters, or in the case of the first sentence of Section 2.6(c)(iii) through December 31, 2010) and (ii) the Applicable Multiple; or (b) in the event of a Sale Event,</w:t>
      </w:r>
      <w:r>
        <w:rPr>
          <w:sz w:val="22"/>
          <w:lang w:eastAsia="en-US"/>
        </w:rPr>
        <w:t xml:space="preserve"> </w:t>
      </w:r>
      <w:r>
        <w:rPr>
          <w:lang w:eastAsia="en-US"/>
        </w:rPr>
        <w:t>fair market value (as determined by Buyer in its reasonable discretion) of the sale proceeds received by Buyer or its Affiliates, net of expenses incurred in connection with the Sale Event and any liabilities or indebtedness of Buyer and its subsidiaries not assumed by the acquiror</w:t>
      </w:r>
      <w:r>
        <w:rPr/>
        <w:t>.</w:t>
      </w:r>
    </w:p>
    <w:p>
      <w:pPr>
        <w:pStyle w:val="BodyText"/>
        <w:rPr/>
      </w:pPr>
      <w:r>
        <w:rPr/>
        <w:t>“</w:t>
      </w:r>
      <w:r>
        <w:rPr>
          <w:u w:val="single"/>
        </w:rPr>
        <w:t>GAAP</w:t>
      </w:r>
      <w:r>
        <w:rPr/>
        <w:t>” means United States generally accepted accounting principles.</w:t>
      </w:r>
    </w:p>
    <w:p>
      <w:pPr>
        <w:pStyle w:val="BodyText"/>
        <w:rPr/>
      </w:pPr>
      <w:r>
        <w:rPr/>
        <w:t>“</w:t>
      </w:r>
      <w:r>
        <w:rPr>
          <w:u w:val="single"/>
        </w:rPr>
        <w:t>Governmental Approval</w:t>
      </w:r>
      <w:r>
        <w:rPr/>
        <w:t>” means any Consent of, with or to any Governmental Authority.</w:t>
      </w:r>
    </w:p>
    <w:p>
      <w:pPr>
        <w:pStyle w:val="BodyText"/>
        <w:rPr/>
      </w:pPr>
      <w:r>
        <w:rPr/>
        <w:t>“</w:t>
      </w:r>
      <w:r>
        <w:rPr>
          <w:u w:val="single"/>
        </w:rPr>
        <w:t>Governmental Authority</w:t>
      </w:r>
      <w:r>
        <w:rPr/>
        <w:t>” means any nation or government (supranational, domestic or foreign), any state or other political subdivision thereof, any entity exercising executive, legislative, judicial, regulatory or administrative functions of or pertaining to government, including any government authority, agency, department, board, commission or instrumentality of the United States or Canada, any state of the United States or province or territory of Canada or any political subdivision of any of the foregoing, and any tribunal or arbitrator(s) of competent jurisdiction, and any self-regulatory organization or securities exchange, and shall include the Bankruptcy Court.</w:t>
      </w:r>
    </w:p>
    <w:p>
      <w:pPr>
        <w:pStyle w:val="BodyText"/>
        <w:rPr/>
      </w:pPr>
      <w:r>
        <w:rPr/>
        <w:t>“</w:t>
      </w:r>
      <w:r>
        <w:rPr>
          <w:u w:val="single"/>
        </w:rPr>
        <w:t>Hazardous Substances</w:t>
      </w:r>
      <w:r>
        <w:rPr/>
        <w:t>” means any substance that:  (a) is or contains asbestos, urea formaldehyde foam insulation, polychlorinated biphenyls, petroleum or petroleum derived substances or wastes, radon gas or related materials; (b) requires investigation, removal, containment or remediation under any Environmental Law, or is defined, listed or identified as a “hazardous waste” or “hazardous substance” (or any similar designation) thereunder; or (c) is toxic, explosive, corrosive, flammable, infectious, radioactive, carcinogenic, mutagenic, or otherwise hazardous and is regulated by any Governmental Authority or Environmental Law.</w:t>
      </w:r>
    </w:p>
    <w:p>
      <w:pPr>
        <w:pStyle w:val="BodyText"/>
        <w:rPr/>
      </w:pPr>
      <w:r>
        <w:rPr/>
        <w:t>“</w:t>
      </w:r>
      <w:r>
        <w:rPr>
          <w:u w:val="single"/>
        </w:rPr>
        <w:t>Holdback Amount</w:t>
      </w:r>
      <w:r>
        <w:rPr/>
        <w:t>” for any period means an amount, not less than zero, equal to (1) the lesser of (a) 75% of the Enron Percentage multiplied by Adjusted Pre-tax Income, and (b) $60 million for the Fiscal Year ended December 31, 2002, and $120 million for each Fiscal Year thereafter, less (2) any Holdback Reduction Amount, in each case for such period.</w:t>
      </w:r>
    </w:p>
    <w:p>
      <w:pPr>
        <w:pStyle w:val="BodyText"/>
        <w:rPr/>
      </w:pPr>
      <w:r>
        <w:rPr/>
        <w:t>“</w:t>
      </w:r>
      <w:r>
        <w:rPr>
          <w:u w:val="single"/>
        </w:rPr>
        <w:t>Holdback Reduction Amount</w:t>
      </w:r>
      <w:r>
        <w:rPr/>
        <w:t>” means 32.5% of the excess of (1) Adjusted Pre-tax Income for a given Fiscal Year over (2) the Threshold Amount for such Fiscal Year.</w:t>
      </w:r>
    </w:p>
    <w:p>
      <w:pPr>
        <w:pStyle w:val="BodyText"/>
        <w:rPr/>
      </w:pPr>
      <w:r>
        <w:rPr/>
        <w:t>“</w:t>
      </w:r>
      <w:r>
        <w:rPr>
          <w:u w:val="single"/>
        </w:rPr>
        <w:t>Houston Lease</w:t>
      </w:r>
      <w:r>
        <w:rPr/>
        <w:t>” has the meaning set forth in Section 2.1(c).</w:t>
      </w:r>
    </w:p>
    <w:p>
      <w:pPr>
        <w:pStyle w:val="BodyText"/>
        <w:rPr/>
      </w:pPr>
      <w:r>
        <w:rPr/>
        <w:t>“</w:t>
      </w:r>
      <w:r>
        <w:rPr>
          <w:u w:val="single"/>
        </w:rPr>
        <w:t>HSR Act</w:t>
      </w:r>
      <w:r>
        <w:rPr/>
        <w:t>” means the Hart-Scott-Rodino Antitrust Improvements Act of 1976, as amended, and the rules and regulations promulgated thereunder.</w:t>
      </w:r>
    </w:p>
    <w:p>
      <w:pPr>
        <w:pStyle w:val="BodyText"/>
        <w:rPr/>
      </w:pPr>
      <w:r>
        <w:rPr/>
        <w:t>“</w:t>
      </w:r>
      <w:r>
        <w:rPr>
          <w:u w:val="single"/>
        </w:rPr>
        <w:t>Inactive Employee</w:t>
      </w:r>
      <w:r>
        <w:rPr/>
        <w:t>” means an Employee who is not actively at work due to approved leave of absence, including short-term disability or medical leave or military leave.</w:t>
      </w:r>
    </w:p>
    <w:p>
      <w:pPr>
        <w:pStyle w:val="BodyText"/>
        <w:rPr/>
      </w:pPr>
      <w:r>
        <w:rPr/>
        <w:t>“</w:t>
      </w:r>
      <w:r>
        <w:rPr>
          <w:u w:val="single"/>
        </w:rPr>
        <w:t>Income Tax</w:t>
      </w:r>
      <w:r>
        <w:rPr/>
        <w:t>” means any franchise Tax and any Tax based on or measured by gross or net income or profits (including any and all fines, penalties and additions attributable to or otherwise imposed on or with respect to any such Tax), whether disputed or not.</w:t>
      </w:r>
    </w:p>
    <w:p>
      <w:pPr>
        <w:pStyle w:val="BodyText"/>
        <w:rPr/>
      </w:pPr>
      <w:r>
        <w:rPr/>
        <w:t>“</w:t>
      </w:r>
      <w:r>
        <w:rPr>
          <w:u w:val="single"/>
        </w:rPr>
        <w:t>Initial Consideration</w:t>
      </w:r>
      <w:r>
        <w:rPr/>
        <w:t>” has the meaning set forth in Section 2.6(a).</w:t>
      </w:r>
    </w:p>
    <w:p>
      <w:pPr>
        <w:pStyle w:val="BodyText"/>
        <w:rPr/>
      </w:pPr>
      <w:r>
        <w:rPr/>
        <w:t>“</w:t>
      </w:r>
      <w:r>
        <w:rPr>
          <w:u w:val="single"/>
        </w:rPr>
        <w:t>Initial Enron Percentage</w:t>
      </w:r>
      <w:r>
        <w:rPr/>
        <w:t>” has the meaning set forth in Section 2.6(b).</w:t>
      </w:r>
    </w:p>
    <w:p>
      <w:pPr>
        <w:pStyle w:val="BodyText"/>
        <w:rPr/>
      </w:pPr>
      <w:r>
        <w:rPr/>
        <w:t>“</w:t>
      </w:r>
      <w:r>
        <w:rPr>
          <w:u w:val="single"/>
        </w:rPr>
        <w:t>Intellectual Property</w:t>
      </w:r>
      <w:r>
        <w:rPr/>
        <w:t>” means all current and future worldwide proprietary and other rights in and to: (a) trade secrets and other confidential, proprietary or non-public business information, including historical and current financial, marketing, pricing and business data, financial and economic analytical models, historic and current research and data, ideas, technical documentation, specifications, plans, proposals, research records, invention records and technical data, and all other know-how, whether or not protected by patent, copyright or trade secret law; (b) original works of authorship, whether or not copyrightable, copyrights, copyright registrations and applications for rights relating thereto; (c) trademarks, service marks, brand names, certification marks, trade dress, assumed names, trade names, URLs, domain names, email addresses, web sites and indications of origin, whether registered or unregistered, including all applications for registration thereof and all renewals, modifications and extensions thereof, and the goodwill of the business symbolized thereby; (d) inventions and patents, including industrial designs, design patents and utility patents, reissues, divisions, renewals, continuations, continuations-in-part and extensions thereof, in each case including applications therefor, and inventors’ certificates and invention disclosures; (e) computer systems, including EnronOnline, and including programs, software, object and source code, databases, data, algorithms, interfaces, documentation, and development tools therefor, in each case including all copyrights therefor; (f) any similar tangible or intangible intellectual property or proprietary rights, information or technology; (g) registrations of, and applications to register, any of the foregoing with any Governmental Authority and any renewals or extensions thereof, and all rights in the foregoing under international conventions and treaties; (h) the goodwill associated with each of the foregoing; (i) any of the foregoing used pursuant to an express or implied license; and (j) any claims or causes of action arising out of or related to any infringement or misappropriation of any of the foregoing; in each case in any jurisdiction.</w:t>
      </w:r>
    </w:p>
    <w:p>
      <w:pPr>
        <w:pStyle w:val="BodyText"/>
        <w:rPr/>
      </w:pPr>
      <w:r>
        <w:rPr/>
        <w:t>“</w:t>
      </w:r>
      <w:r>
        <w:rPr>
          <w:u w:val="single"/>
        </w:rPr>
        <w:t>IRS</w:t>
      </w:r>
      <w:r>
        <w:rPr/>
        <w:t>” means the United States Internal Revenue Service.</w:t>
      </w:r>
    </w:p>
    <w:p>
      <w:pPr>
        <w:pStyle w:val="BodyText"/>
        <w:rPr/>
      </w:pPr>
      <w:r>
        <w:rPr/>
        <w:t>“</w:t>
      </w:r>
      <w:r>
        <w:rPr>
          <w:u w:val="single"/>
        </w:rPr>
        <w:t>Liabilities</w:t>
      </w:r>
      <w:r>
        <w:rPr/>
        <w:t xml:space="preserve">” means any and all debts, losses, liabilities, claims (including claims as defined in the Bankruptcy Code), damages, expenses, fines, costs, royalties, proceedings, deficiencies or obligations (including those arising out of any Action, such as any settlement or compromise thereof or judgment or award therein), of any nature, whether known or unknown, absolute, accrued, contingent or otherwise and whether due or to become due, and whether or not resulting from third-party claims, and any out-of-pocket costs and expenses (including legal counsels’, accountants’, or other fees and expenses incurred in defending any Action or in investigating any of the same or in asserting any rights hereunder). </w:t>
      </w:r>
    </w:p>
    <w:p>
      <w:pPr>
        <w:pStyle w:val="BodyText"/>
        <w:rPr/>
      </w:pPr>
      <w:r>
        <w:rPr/>
        <w:t>“</w:t>
      </w:r>
      <w:r>
        <w:rPr>
          <w:u w:val="single"/>
        </w:rPr>
        <w:t>License Agreements</w:t>
      </w:r>
      <w:r>
        <w:rPr/>
        <w:t>” means the licenses, on the terms set forth in Exhibit 1.1 and 1.2 hereto, pursuant to the terms of which Sellers shall license to Buyer and its Affiliates, as of the Closing, certain Intellectual Property.</w:t>
      </w:r>
    </w:p>
    <w:p>
      <w:pPr>
        <w:pStyle w:val="BodyText"/>
        <w:rPr/>
      </w:pPr>
      <w:r>
        <w:rPr/>
        <w:t>“</w:t>
      </w:r>
      <w:r>
        <w:rPr>
          <w:u w:val="single"/>
        </w:rPr>
        <w:t>Licensed Intellectual Property</w:t>
      </w:r>
      <w:r>
        <w:rPr/>
        <w:t>” means the Intellectual Property and related rights licensed to Buyer and its Affiliates under the License Agreements.</w:t>
      </w:r>
    </w:p>
    <w:p>
      <w:pPr>
        <w:pStyle w:val="BodyText"/>
        <w:rPr/>
      </w:pPr>
      <w:r>
        <w:rPr/>
        <w:t>“</w:t>
      </w:r>
      <w:r>
        <w:rPr>
          <w:u w:val="single"/>
        </w:rPr>
        <w:t>Loss</w:t>
      </w:r>
      <w:r>
        <w:rPr/>
        <w:t>” has the meaning set forth in Section 10.3.</w:t>
      </w:r>
    </w:p>
    <w:p>
      <w:pPr>
        <w:pStyle w:val="BodyText"/>
        <w:rPr/>
      </w:pPr>
      <w:r>
        <w:rPr/>
        <w:t>“</w:t>
      </w:r>
      <w:r>
        <w:rPr>
          <w:u w:val="single"/>
        </w:rPr>
        <w:t>Maximum Deferred Contribution Amount</w:t>
      </w:r>
      <w:r>
        <w:rPr/>
        <w:t>” means $300 million.</w:t>
      </w:r>
    </w:p>
    <w:p>
      <w:pPr>
        <w:pStyle w:val="BodyText"/>
        <w:rPr/>
      </w:pPr>
      <w:r>
        <w:rPr/>
        <w:t>“</w:t>
      </w:r>
      <w:r>
        <w:rPr>
          <w:u w:val="single"/>
        </w:rPr>
        <w:t>Neutral Auditor</w:t>
      </w:r>
      <w:r>
        <w:rPr/>
        <w:t>” has the meaning set forth in Section 2.7(a)(iii).</w:t>
      </w:r>
    </w:p>
    <w:p>
      <w:pPr>
        <w:pStyle w:val="BodyText"/>
        <w:rPr/>
      </w:pPr>
      <w:r>
        <w:rPr/>
        <w:t>“</w:t>
      </w:r>
      <w:r>
        <w:rPr>
          <w:u w:val="single"/>
        </w:rPr>
        <w:t>North American Gas and Electricity Commodities</w:t>
      </w:r>
      <w:r>
        <w:rPr/>
        <w:t xml:space="preserve">” </w:t>
      </w:r>
      <w:r>
        <w:rPr>
          <w:lang w:eastAsia="en-US"/>
        </w:rPr>
        <w:t>means the scheduling and physical distribution of North American natural gas and electricity, as well as any physical or financial contractual products (whether physically or cash settled) such as any swaps or swap-like products, options or option-like products, including caps, floors, collars, futures contracts, forward contracts, and any other derivative instrument, contract or arrangement, such as contracts for the forward delivery of physical output or assets or physical load obligations, related thereto.</w:t>
      </w:r>
    </w:p>
    <w:p>
      <w:pPr>
        <w:pStyle w:val="BodyText"/>
        <w:rPr/>
      </w:pPr>
      <w:r>
        <w:rPr/>
        <w:t>“</w:t>
      </w:r>
      <w:r>
        <w:rPr>
          <w:u w:val="single"/>
        </w:rPr>
        <w:t>Notice of Dispute</w:t>
      </w:r>
      <w:r>
        <w:rPr/>
        <w:t xml:space="preserve">” has the meaning set forth in Section 2.7(a). </w:t>
      </w:r>
    </w:p>
    <w:p>
      <w:pPr>
        <w:pStyle w:val="BodyText"/>
        <w:rPr/>
      </w:pPr>
      <w:r>
        <w:rPr/>
        <w:t>“</w:t>
      </w:r>
      <w:r>
        <w:rPr>
          <w:u w:val="single"/>
        </w:rPr>
        <w:t>OSHA</w:t>
      </w:r>
      <w:r>
        <w:rPr/>
        <w:t>” has the meaning set forth in Section 3.13.</w:t>
      </w:r>
    </w:p>
    <w:p>
      <w:pPr>
        <w:pStyle w:val="BodyText"/>
        <w:rPr/>
      </w:pPr>
      <w:r>
        <w:rPr/>
        <w:t>“</w:t>
      </w:r>
      <w:r>
        <w:rPr>
          <w:u w:val="single"/>
        </w:rPr>
        <w:t>Parent</w:t>
      </w:r>
      <w:r>
        <w:rPr/>
        <w:t xml:space="preserve">” has the meaning set forth in the recitals hereto. </w:t>
      </w:r>
    </w:p>
    <w:p>
      <w:pPr>
        <w:pStyle w:val="BodyText"/>
        <w:rPr/>
      </w:pPr>
      <w:r>
        <w:rPr/>
        <w:t>“</w:t>
      </w:r>
      <w:r>
        <w:rPr>
          <w:u w:val="single"/>
        </w:rPr>
        <w:t>Partial Call Right</w:t>
      </w:r>
      <w:r>
        <w:rPr/>
        <w:t>” has the meaning set forth in Section 2.6(c).</w:t>
      </w:r>
    </w:p>
    <w:p>
      <w:pPr>
        <w:pStyle w:val="BodyText"/>
        <w:rPr/>
      </w:pPr>
      <w:r>
        <w:rPr/>
        <w:t>“</w:t>
      </w:r>
      <w:r>
        <w:rPr>
          <w:u w:val="single"/>
        </w:rPr>
        <w:t>Partial Termination Payment</w:t>
      </w:r>
      <w:r>
        <w:rPr/>
        <w:t xml:space="preserve">” has the meaning set forth in Section 2.6(c). </w:t>
      </w:r>
    </w:p>
    <w:p>
      <w:pPr>
        <w:pStyle w:val="BodyText"/>
        <w:rPr/>
      </w:pPr>
      <w:r>
        <w:rPr/>
        <w:t>“</w:t>
      </w:r>
      <w:r>
        <w:rPr>
          <w:u w:val="single"/>
        </w:rPr>
        <w:t>Partial Termination Value</w:t>
      </w:r>
      <w:r>
        <w:rPr/>
        <w:t>” at any given time shall mean the product of (a) Adjusted Net Income for the prior Fiscal Year and (b) the Applicable Multiple.</w:t>
      </w:r>
    </w:p>
    <w:p>
      <w:pPr>
        <w:pStyle w:val="BodyText"/>
        <w:rPr/>
      </w:pPr>
      <w:r>
        <w:rPr/>
        <w:t>“</w:t>
      </w:r>
      <w:r>
        <w:rPr>
          <w:u w:val="single"/>
        </w:rPr>
        <w:t>Permits</w:t>
      </w:r>
      <w:r>
        <w:rPr/>
        <w:t>” has the meaning set forth in Section 3.7(a).</w:t>
      </w:r>
    </w:p>
    <w:p>
      <w:pPr>
        <w:pStyle w:val="BodyText"/>
        <w:rPr/>
      </w:pPr>
      <w:r>
        <w:rPr/>
        <w:t>“</w:t>
      </w:r>
      <w:r>
        <w:rPr>
          <w:u w:val="single"/>
        </w:rPr>
        <w:t>Person</w:t>
      </w:r>
      <w:r>
        <w:rPr/>
        <w:t>” or “</w:t>
      </w:r>
      <w:r>
        <w:rPr>
          <w:u w:val="single"/>
        </w:rPr>
        <w:t>person</w:t>
      </w:r>
      <w:r>
        <w:rPr/>
        <w:t>” means and includes natural persons, corporations, limited partnerships, limited liability companies, general partnerships, joint stock companies, joint ventures, associations, companies, trusts, banks, trust companies, land trusts, business trusts or other organizations, whether or not legal entities, and all Governmental Authorities.</w:t>
      </w:r>
    </w:p>
    <w:p>
      <w:pPr>
        <w:pStyle w:val="BodyText"/>
        <w:rPr/>
      </w:pPr>
      <w:r>
        <w:rPr/>
        <w:t>“</w:t>
      </w:r>
      <w:r>
        <w:rPr>
          <w:u w:val="single"/>
        </w:rPr>
        <w:t>Pre-Closing Taxes</w:t>
      </w:r>
      <w:r>
        <w:rPr/>
        <w:t>” means any Taxes arising during or relating to any Pre-Closing Tax Period.</w:t>
      </w:r>
    </w:p>
    <w:p>
      <w:pPr>
        <w:pStyle w:val="BodyText"/>
        <w:rPr/>
      </w:pPr>
      <w:r>
        <w:rPr/>
        <w:t>“</w:t>
      </w:r>
      <w:r>
        <w:rPr>
          <w:u w:val="single"/>
        </w:rPr>
        <w:t>Pre-Closing Tax Period</w:t>
      </w:r>
      <w:r>
        <w:rPr/>
        <w:t>” means any tax period (or portion thereof) ending on or before the Closing Date, including the portion of any Straddle Period treated as a Pre-Closing Tax Period under Section 7.2(e).</w:t>
      </w:r>
    </w:p>
    <w:p>
      <w:pPr>
        <w:pStyle w:val="BodyText"/>
        <w:rPr/>
      </w:pPr>
      <w:r>
        <w:rPr/>
        <w:t>“</w:t>
      </w:r>
      <w:r>
        <w:rPr>
          <w:u w:val="single"/>
        </w:rPr>
        <w:t>Property Taxes</w:t>
      </w:r>
      <w:r>
        <w:rPr/>
        <w:t>” means all Taxes, other than Income Taxes, levied, imposed, assessed, charged or rated by a Governmental Authority against, on, or in respect of real property or upon the owner of real property in respect of real property or in respect of any related rental or other monies receivable by the owner of real property or from time to time levied, imposed, assessed, charged or rated in the future in lieu or in substitution thereof, or for which the owner is liable in respect of real property or any part thereof, including, without limitation, those levied, imposed, assessed, charged or rated for education, schools, local improvements, public works or for any other public purpose.</w:t>
      </w:r>
    </w:p>
    <w:p>
      <w:pPr>
        <w:pStyle w:val="BodyText"/>
        <w:rPr/>
      </w:pPr>
      <w:r>
        <w:rPr/>
        <w:t>“</w:t>
      </w:r>
      <w:r>
        <w:rPr>
          <w:u w:val="single"/>
        </w:rPr>
        <w:t>Proportionate Enron Account</w:t>
      </w:r>
      <w:r>
        <w:rPr/>
        <w:t>” has the meaning set forth in Section 2.6(c)(i).</w:t>
      </w:r>
    </w:p>
    <w:p>
      <w:pPr>
        <w:pStyle w:val="BodyText"/>
        <w:rPr/>
      </w:pPr>
      <w:r>
        <w:rPr/>
        <w:t>“</w:t>
      </w:r>
      <w:r>
        <w:rPr>
          <w:u w:val="single"/>
        </w:rPr>
        <w:t>Qualified EES Counterparty</w:t>
      </w:r>
      <w:r>
        <w:rPr/>
        <w:t xml:space="preserve">” means any (a) all residential counterparties, and (b) all industrial counterparties of a type and nature consistent with those counterparties with which EES has historically conducted its business; </w:t>
      </w:r>
      <w:r>
        <w:rPr>
          <w:u w:val="single"/>
        </w:rPr>
        <w:t>provided</w:t>
      </w:r>
      <w:r>
        <w:rPr/>
        <w:t xml:space="preserve">, that in no event shall any state or municipality, or any utility or independent power producer be a Qualified EES Counterparty. </w:t>
      </w:r>
    </w:p>
    <w:p>
      <w:pPr>
        <w:pStyle w:val="BodyText"/>
        <w:rPr/>
      </w:pPr>
      <w:r>
        <w:rPr/>
        <w:t>“</w:t>
      </w:r>
      <w:r>
        <w:rPr>
          <w:u w:val="single"/>
        </w:rPr>
        <w:t>Return</w:t>
      </w:r>
      <w:r>
        <w:rPr/>
        <w:t>” means any return, statement, report or form, including in each case any amendments thereto, required to be filed with any Taxing Authority by or with respect to Taxes of Sellers.</w:t>
      </w:r>
    </w:p>
    <w:p>
      <w:pPr>
        <w:pStyle w:val="BodyText"/>
        <w:rPr/>
      </w:pPr>
      <w:r>
        <w:rPr/>
        <w:t>“</w:t>
      </w:r>
      <w:r>
        <w:rPr>
          <w:u w:val="single"/>
        </w:rPr>
        <w:t>Sale Event</w:t>
      </w:r>
      <w:r>
        <w:rPr/>
        <w:t xml:space="preserve">” has the meaning set forth in Section 2.6(c). </w:t>
      </w:r>
    </w:p>
    <w:p>
      <w:pPr>
        <w:pStyle w:val="BodyText"/>
        <w:rPr/>
      </w:pPr>
      <w:r>
        <w:rPr/>
        <w:t>“</w:t>
      </w:r>
      <w:r>
        <w:rPr>
          <w:u w:val="single"/>
        </w:rPr>
        <w:t>Section 1060 Forms</w:t>
      </w:r>
      <w:r>
        <w:rPr/>
        <w:t>” has the meaning set forth in Section 2.5.</w:t>
      </w:r>
    </w:p>
    <w:p>
      <w:pPr>
        <w:pStyle w:val="BodyText"/>
        <w:rPr/>
      </w:pPr>
      <w:r>
        <w:rPr/>
        <w:t>“</w:t>
      </w:r>
      <w:r>
        <w:rPr>
          <w:u w:val="single"/>
        </w:rPr>
        <w:t>Securities Act</w:t>
      </w:r>
      <w:r>
        <w:rPr/>
        <w:t xml:space="preserve">” means the Securities Act of 1933, as amended, and the rules and regulations promulgated thereunder. </w:t>
      </w:r>
    </w:p>
    <w:p>
      <w:pPr>
        <w:pStyle w:val="BodyText"/>
        <w:rPr/>
      </w:pPr>
      <w:r>
        <w:rPr/>
        <w:t>“</w:t>
      </w:r>
      <w:r>
        <w:rPr>
          <w:u w:val="single"/>
        </w:rPr>
        <w:t>Securities Law Event</w:t>
      </w:r>
      <w:r>
        <w:rPr/>
        <w:t>” has the meaning set forth in Section 2.6(c)(iii).</w:t>
      </w:r>
    </w:p>
    <w:p>
      <w:pPr>
        <w:pStyle w:val="BodyText"/>
        <w:rPr/>
      </w:pPr>
      <w:r>
        <w:rPr/>
        <w:t>“</w:t>
      </w:r>
      <w:r>
        <w:rPr>
          <w:u w:val="single"/>
        </w:rPr>
        <w:t>Seller Indemnitees</w:t>
      </w:r>
      <w:r>
        <w:rPr/>
        <w:t>” has the meaning set forth in Section 10.2.</w:t>
      </w:r>
    </w:p>
    <w:p>
      <w:pPr>
        <w:pStyle w:val="BodyText"/>
        <w:rPr/>
      </w:pPr>
      <w:r>
        <w:rPr/>
        <w:t>“</w:t>
      </w:r>
      <w:r>
        <w:rPr>
          <w:u w:val="single"/>
        </w:rPr>
        <w:t>Sellers</w:t>
      </w:r>
      <w:r>
        <w:rPr/>
        <w:t>” has the meaning set forth in the recitals hereto.</w:t>
      </w:r>
    </w:p>
    <w:p>
      <w:pPr>
        <w:pStyle w:val="BodyText"/>
        <w:rPr/>
      </w:pPr>
      <w:r>
        <w:rPr/>
        <w:t>“</w:t>
      </w:r>
      <w:r>
        <w:rPr>
          <w:u w:val="single"/>
        </w:rPr>
        <w:t>Sellers’ Representative</w:t>
      </w:r>
      <w:r>
        <w:rPr/>
        <w:t>” means the Chief Executive Officer, the Chief Financial Officer, the General Counsel and the Directors of Sellers or any of their Affiliates or such person(s) charged by the Bankruptcy Court with administering Sellers’ estate from the Closing until such time as the Bankruptcy Cases are closed.</w:t>
      </w:r>
    </w:p>
    <w:p>
      <w:pPr>
        <w:pStyle w:val="BodyText"/>
        <w:rPr/>
      </w:pPr>
      <w:r>
        <w:rPr/>
        <w:t>“</w:t>
      </w:r>
      <w:r>
        <w:rPr>
          <w:u w:val="single"/>
        </w:rPr>
        <w:t>Statement</w:t>
      </w:r>
      <w:r>
        <w:rPr/>
        <w:t xml:space="preserve">” has the meaning set forth in Section 2.7(a). </w:t>
      </w:r>
    </w:p>
    <w:p>
      <w:pPr>
        <w:pStyle w:val="BodyText"/>
        <w:rPr/>
      </w:pPr>
      <w:r>
        <w:rPr/>
        <w:t>“</w:t>
      </w:r>
      <w:r>
        <w:rPr>
          <w:u w:val="single"/>
        </w:rPr>
        <w:t>Straddle Period</w:t>
      </w:r>
      <w:r>
        <w:rPr/>
        <w:t>” means any period beginning prior to and ending after the Closing Date.</w:t>
      </w:r>
    </w:p>
    <w:p>
      <w:pPr>
        <w:pStyle w:val="BodyText"/>
        <w:rPr/>
      </w:pPr>
      <w:r>
        <w:rPr/>
        <w:t>“</w:t>
      </w:r>
      <w:r>
        <w:rPr>
          <w:u w:val="single"/>
        </w:rPr>
        <w:t>Subsidiary</w:t>
      </w:r>
      <w:r>
        <w:rPr/>
        <w:t>” or “</w:t>
      </w:r>
      <w:r>
        <w:rPr>
          <w:u w:val="single"/>
        </w:rPr>
        <w:t>subsidiary</w:t>
      </w:r>
      <w:r>
        <w:rPr/>
        <w:t>” means, with respect to any Person, any corporation, limited liability company, joint venture or partnership of which such Person beneficially owns, either directly or through its subsidiaries, (a) more than 50% of (i) the total combined voting power of all classes of voting securities of such entity, (ii) the total combined equity interests therein, or (iii) the capital or profit interests therein, in the case of a partnership; or (b) otherwise has the power to vote or direct the voting of sufficient securities to elect a majority of the board of directors or similar governing body of such entity.</w:t>
      </w:r>
    </w:p>
    <w:p>
      <w:pPr>
        <w:pStyle w:val="BodyText"/>
        <w:rPr/>
      </w:pPr>
      <w:r>
        <w:rPr/>
        <w:t>“</w:t>
      </w:r>
      <w:r>
        <w:rPr>
          <w:u w:val="single"/>
        </w:rPr>
        <w:t>Tax</w:t>
      </w:r>
      <w:r>
        <w:rPr/>
        <w:t>” means all federal, state, provincial, territorial, municipal, local or foreign income, profits, franchise, gross receipts, capital, license, environmental (including taxes under Code Section 59A), customs, duties, net worth, sales, use, goods and services, withholding, turnover, value added, ad valorem, registration, general business, employment, social security, disability, occupation, pension, employment insurance, real property, personal property (tangible and intangible), stamp, transfer, conveyance, severance, production, excise and other taxes, withholdings, duties, levies, imposts and other similar charges and assessments (including any and all fines, penalties and additions attributable to or otherwise imposed on or with respect to any such taxes, charges, fees, levies or other assessments, and interest thereon) imposed by or on behalf of any Taxing Authority, in each case whether such Tax arises by Law, contract or otherwise.</w:t>
      </w:r>
    </w:p>
    <w:p>
      <w:pPr>
        <w:pStyle w:val="BodyText"/>
        <w:rPr/>
      </w:pPr>
      <w:r>
        <w:rPr/>
        <w:t>“</w:t>
      </w:r>
      <w:r>
        <w:rPr>
          <w:u w:val="single"/>
        </w:rPr>
        <w:t>Taxing Authority</w:t>
      </w:r>
      <w:r>
        <w:rPr/>
        <w:t>” means any Governmental Authority, body or instrumentality exercising any authority to impose, regulate, levy, assess or administer the imposition of any Tax.</w:t>
      </w:r>
    </w:p>
    <w:p>
      <w:pPr>
        <w:pStyle w:val="BodyText"/>
        <w:rPr/>
      </w:pPr>
      <w:r>
        <w:rPr/>
        <w:t>“</w:t>
      </w:r>
      <w:r>
        <w:rPr>
          <w:u w:val="single"/>
        </w:rPr>
        <w:t>Termination Date</w:t>
      </w:r>
      <w:r>
        <w:rPr/>
        <w:t>” means the date on which Buyer pays the final Termination Payment to Sellers.</w:t>
      </w:r>
    </w:p>
    <w:p>
      <w:pPr>
        <w:pStyle w:val="BodyText"/>
        <w:rPr/>
      </w:pPr>
      <w:r>
        <w:rPr/>
        <w:t>“</w:t>
      </w:r>
      <w:r>
        <w:rPr>
          <w:u w:val="single"/>
        </w:rPr>
        <w:t>Termination Payment</w:t>
      </w:r>
      <w:r>
        <w:rPr/>
        <w:t>” shall mean either a Partial Termination Payment or a Full Termination Payment, as the case may be.</w:t>
      </w:r>
    </w:p>
    <w:p>
      <w:pPr>
        <w:pStyle w:val="BodyText"/>
        <w:rPr/>
      </w:pPr>
      <w:r>
        <w:rPr/>
        <w:t>“</w:t>
      </w:r>
      <w:r>
        <w:rPr>
          <w:u w:val="single"/>
        </w:rPr>
        <w:t>Termination Window</w:t>
      </w:r>
      <w:r>
        <w:rPr/>
        <w:t xml:space="preserve">” has the meaning set forth in Section 2.6(c). </w:t>
      </w:r>
    </w:p>
    <w:p>
      <w:pPr>
        <w:pStyle w:val="BodyText"/>
        <w:rPr/>
      </w:pPr>
      <w:r>
        <w:rPr/>
        <w:t>“</w:t>
      </w:r>
      <w:r>
        <w:rPr>
          <w:u w:val="single"/>
        </w:rPr>
        <w:t>Third Party Claim</w:t>
      </w:r>
      <w:r>
        <w:rPr/>
        <w:t>” has the meaning set forth in Section 10.5.</w:t>
      </w:r>
    </w:p>
    <w:p>
      <w:pPr>
        <w:pStyle w:val="BodyText"/>
        <w:rPr/>
      </w:pPr>
      <w:r>
        <w:rPr/>
        <w:t>“</w:t>
      </w:r>
      <w:r>
        <w:rPr>
          <w:u w:val="single"/>
        </w:rPr>
        <w:t>Third Party License</w:t>
      </w:r>
      <w:r>
        <w:rPr/>
        <w:t>” has the meaning set forth in Section 3.6(e).</w:t>
      </w:r>
    </w:p>
    <w:p>
      <w:pPr>
        <w:pStyle w:val="BodyText"/>
        <w:rPr/>
      </w:pPr>
      <w:r>
        <w:rPr/>
        <w:t>“</w:t>
      </w:r>
      <w:r>
        <w:rPr>
          <w:u w:val="single"/>
        </w:rPr>
        <w:t>Threshold Amount</w:t>
      </w:r>
      <w:r>
        <w:rPr/>
        <w:t>” means (1) $615 million for the Fiscal Year ended December 31, 2002, (2) $769 million for the Fiscal Year ended December 31, 2003, and (3) $846 million for each Fiscal Year thereafter.</w:t>
      </w:r>
    </w:p>
    <w:p>
      <w:pPr>
        <w:pStyle w:val="BodyText"/>
        <w:rPr/>
      </w:pPr>
      <w:r>
        <w:rPr/>
        <w:t>“</w:t>
      </w:r>
      <w:r>
        <w:rPr>
          <w:u w:val="single"/>
        </w:rPr>
        <w:t>Transitioned Employee</w:t>
      </w:r>
      <w:r>
        <w:rPr/>
        <w:t>” has the meaning set forth in Section 6.1(b).</w:t>
      </w:r>
    </w:p>
    <w:p>
      <w:pPr>
        <w:pStyle w:val="BodyText"/>
        <w:rPr/>
      </w:pPr>
      <w:r>
        <w:rPr/>
        <w:t>“</w:t>
      </w:r>
      <w:r>
        <w:rPr>
          <w:u w:val="single"/>
        </w:rPr>
        <w:t>Transition Services Agreement</w:t>
      </w:r>
      <w:r>
        <w:rPr/>
        <w:t>” means a definitive transactions services agreement to be entered into among Buyer and Sellers in connection herewith, having those terms set forth on Exhibit 1.3 hereto.</w:t>
      </w:r>
    </w:p>
    <w:p>
      <w:pPr>
        <w:pStyle w:val="BodyText"/>
        <w:rPr/>
      </w:pPr>
      <w:r>
        <w:rPr/>
        <w:t>“</w:t>
      </w:r>
      <w:r>
        <w:rPr>
          <w:u w:val="single"/>
        </w:rPr>
        <w:t>U.S. Buyer</w:t>
      </w:r>
      <w:r>
        <w:rPr/>
        <w:t>” has the meaning set forth in the preamble hereto.</w:t>
      </w:r>
    </w:p>
    <w:p>
      <w:pPr>
        <w:pStyle w:val="BodyText"/>
        <w:rPr/>
      </w:pPr>
      <w:r>
        <w:rPr/>
        <w:t>“</w:t>
      </w:r>
      <w:r>
        <w:rPr>
          <w:u w:val="single"/>
        </w:rPr>
        <w:t>Vesting Order</w:t>
      </w:r>
      <w:r>
        <w:rPr/>
        <w:t>” has the meaning set forth in Section 5.15.</w:t>
      </w:r>
    </w:p>
    <w:p>
      <w:pPr>
        <w:pStyle w:val="Heading2"/>
        <w:numPr>
          <w:ilvl w:val="1"/>
          <w:numId w:val="12"/>
        </w:numPr>
        <w:ind w:hanging="0" w:start="0"/>
        <w:rPr/>
      </w:pPr>
      <w:r>
        <w:rPr>
          <w:u w:val="single"/>
        </w:rPr>
        <w:t>Other Terms</w:t>
      </w:r>
      <w:r>
        <w:fldChar w:fldCharType="begin"/>
      </w:r>
      <w:r>
        <w:rPr/>
        <w:instrText xml:space="preserve"> TC "Section 1.2</w:instrText>
        <w:tab/>
        <w:instrText xml:space="preserve">Other Terms</w:instrText>
        <w:tab/>
        <w:instrText xml:space="preserve">“ \f C \l “2" \l 1 </w:instrText>
      </w:r>
      <w:r>
        <w:rPr/>
        <w:fldChar w:fldCharType="separate"/>
      </w:r>
      <w:r>
        <w:rPr/>
      </w:r>
      <w:r>
        <w:rPr/>
        <w:fldChar w:fldCharType="end"/>
      </w:r>
      <w:bookmarkStart w:id="13" w:name="__RefHeading___Toc535051533"/>
      <w:bookmarkEnd w:id="13"/>
      <w:r>
        <w:rPr/>
        <w:t>.  Other terms may be defined elsewhere in this Agreement and, unless otherwise indicated, shall have such meaning throughout this Agreement.</w:t>
      </w:r>
    </w:p>
    <w:p>
      <w:pPr>
        <w:pStyle w:val="Heading2"/>
        <w:numPr>
          <w:ilvl w:val="1"/>
          <w:numId w:val="12"/>
        </w:numPr>
        <w:ind w:hanging="0" w:start="0"/>
        <w:rPr/>
      </w:pPr>
      <w:r>
        <w:rPr>
          <w:u w:val="single"/>
        </w:rPr>
        <w:t>Knowledge Qualifiers</w:t>
      </w:r>
      <w:r>
        <w:fldChar w:fldCharType="begin"/>
      </w:r>
      <w:r>
        <w:rPr/>
        <w:instrText xml:space="preserve"> TC "Section 1.3</w:instrText>
        <w:tab/>
        <w:instrText xml:space="preserve">Knowledge Qualifiers</w:instrText>
        <w:tab/>
        <w:instrText xml:space="preserve">“ \f C \l “2" \l 1 </w:instrText>
      </w:r>
      <w:r>
        <w:rPr/>
        <w:fldChar w:fldCharType="separate"/>
      </w:r>
      <w:r>
        <w:rPr/>
      </w:r>
      <w:r>
        <w:rPr/>
        <w:fldChar w:fldCharType="end"/>
      </w:r>
      <w:bookmarkStart w:id="14" w:name="__RefHeading___Toc535051534"/>
      <w:bookmarkEnd w:id="14"/>
      <w:r>
        <w:rPr/>
        <w:t>.  References to “Sellers’ knowledge” or “to the knowledge of the Sellers” and similar terms shall refer to the actual knowledge of any of the individuals listed on Schedule 8.5(a) or Schedule 8.5(b), of Enron’s Chief Executive Officer, Chief Financial Officer or General Counsel, or of Mark Muller, Jeffrey Donahue or Jeffrey Golden, in each case, after reasonable inquiry.</w:t>
      </w:r>
    </w:p>
    <w:p>
      <w:pPr>
        <w:pStyle w:val="Heading1"/>
        <w:numPr>
          <w:ilvl w:val="0"/>
          <w:numId w:val="12"/>
        </w:numPr>
        <w:ind w:hanging="0" w:start="0"/>
        <w:rPr/>
      </w:pPr>
      <w:r>
        <w:rPr/>
        <w:br/>
        <w:br/>
        <w:t>Sale of Assets; Closing</w:t>
      </w:r>
      <w:r>
        <w:fldChar w:fldCharType="begin"/>
      </w:r>
      <w:r>
        <w:rPr/>
        <w:instrText xml:space="preserve"> TC "ARTICLE 2_x000b__x000b_Sale of Assets; Closing" \l 1 </w:instrText>
      </w:r>
      <w:r>
        <w:rPr/>
        <w:fldChar w:fldCharType="separate"/>
      </w:r>
      <w:r>
        <w:rPr/>
      </w:r>
      <w:r>
        <w:rPr/>
        <w:fldChar w:fldCharType="end"/>
      </w:r>
    </w:p>
    <w:p>
      <w:pPr>
        <w:pStyle w:val="Heading2"/>
        <w:numPr>
          <w:ilvl w:val="1"/>
          <w:numId w:val="12"/>
        </w:numPr>
        <w:ind w:hanging="0" w:start="0"/>
        <w:rPr/>
      </w:pPr>
      <w:r>
        <w:rPr>
          <w:u w:val="single"/>
        </w:rPr>
        <w:t>Assets To Be Acquired</w:t>
      </w:r>
      <w:r>
        <w:fldChar w:fldCharType="begin"/>
      </w:r>
      <w:r>
        <w:rPr/>
        <w:instrText xml:space="preserve"> TC "Section 2.1</w:instrText>
        <w:tab/>
        <w:instrText xml:space="preserve">Assets To Be Acquired</w:instrText>
        <w:tab/>
        <w:instrText xml:space="preserve">“ \f C \l “2" \l 1 </w:instrText>
      </w:r>
      <w:r>
        <w:rPr/>
        <w:fldChar w:fldCharType="separate"/>
      </w:r>
      <w:r>
        <w:rPr/>
      </w:r>
      <w:r>
        <w:rPr/>
        <w:fldChar w:fldCharType="end"/>
      </w:r>
      <w:bookmarkStart w:id="15" w:name="__RefHeading___Toc535051535"/>
      <w:bookmarkEnd w:id="15"/>
      <w:r>
        <w:rPr/>
        <w:t>.  Subject to the satisfaction or waiver in writing of the conditions set forth herein and to the other terms, conditions and provisions hereof, at the Closing, Sellers shall sell, convey, assign, transfer and deliver, or license pursuant to the terms of the License Agreements, to U.S. Buyer or Canadian Buyer, as the case may be, or cause to be sold, conveyed, assigned, transferred and delivered, or licensed pursuant to the terms of the License Agreements, to U.S. Buyer or Canadian Buyer, as the case may be, and U.S. Buyer and Canadian Buyer, as the case may be, shall purchase, acquire, accept and pay for, all of Sellers’ right, title and interest in, or license pursuant to the terms of the License Agreements, the right to use from Sellers, in each case, free and clear of all Encumbrances and Liabilities, all of the properties, assets and rights of every kind, whether tangible or intangible, real, personal or mixed, wherever located, whether now existing or hereafter acquired (excluding the Excluded Assets) that are used or held for use in or that are necessary or appropriate for the conduct of the Business (collectively, the “</w:t>
      </w:r>
      <w:r>
        <w:rPr>
          <w:u w:val="single"/>
        </w:rPr>
        <w:t>Assets</w:t>
      </w:r>
      <w:r>
        <w:rPr/>
        <w:t xml:space="preserve">”), including those properties, assets and rights set forth on </w:t>
      </w:r>
      <w:r>
        <w:rPr>
          <w:u w:val="single"/>
        </w:rPr>
        <w:t>Exhibit 2.1</w:t>
      </w:r>
      <w:r>
        <w:rPr/>
        <w:t xml:space="preserve"> and including the following:</w:t>
      </w:r>
    </w:p>
    <w:p>
      <w:pPr>
        <w:pStyle w:val="Heading3"/>
        <w:numPr>
          <w:ilvl w:val="2"/>
          <w:numId w:val="12"/>
        </w:numPr>
        <w:ind w:hanging="0" w:start="0"/>
        <w:rPr/>
      </w:pPr>
      <w:r>
        <w:rPr/>
        <w:t>the Business Intellectual Property;</w:t>
      </w:r>
    </w:p>
    <w:p>
      <w:pPr>
        <w:pStyle w:val="Heading3"/>
        <w:numPr>
          <w:ilvl w:val="2"/>
          <w:numId w:val="12"/>
        </w:numPr>
        <w:ind w:hanging="0" w:start="0"/>
        <w:rPr/>
      </w:pPr>
      <w:r>
        <w:rPr/>
        <w:t>all personal property and equipment, including computer, telecommunications and networking hardware and related software, whether owned or leased relating to the Business,</w:t>
      </w:r>
    </w:p>
    <w:p>
      <w:pPr>
        <w:pStyle w:val="Heading3"/>
        <w:numPr>
          <w:ilvl w:val="2"/>
          <w:numId w:val="12"/>
        </w:numPr>
        <w:ind w:hanging="0" w:start="0"/>
        <w:rPr/>
      </w:pPr>
      <w:r>
        <w:rPr/>
        <w:t>(i) all real property listed in Schedule 2.1(c)(i), (ii) a lease of the owned Business Real Estate described, and on the terms set forth, on Exhibit 2.1(c)(ii) (the “</w:t>
      </w:r>
      <w:r>
        <w:rPr>
          <w:u w:val="single"/>
        </w:rPr>
        <w:t>Houston Lease</w:t>
      </w:r>
      <w:r>
        <w:rPr/>
        <w:t xml:space="preserve">”) and (iii) subleases for office space in Portland, Oregon, and Calgary, Alberta and Toronto, Ontario described, and on the terms set forth, on Exhibit 2.1(c)(ii), and, in each case, related systems for security and alarms, fire control, elevators, telecommunications equipment and HVAC; </w:t>
      </w:r>
    </w:p>
    <w:p>
      <w:pPr>
        <w:pStyle w:val="Heading3"/>
        <w:numPr>
          <w:ilvl w:val="2"/>
          <w:numId w:val="12"/>
        </w:numPr>
        <w:ind w:hanging="0" w:start="0"/>
        <w:rPr/>
      </w:pPr>
      <w:r>
        <w:rPr/>
        <w:t>all customer lists and related aggregated transaction data relating to the Business;</w:t>
      </w:r>
    </w:p>
    <w:p>
      <w:pPr>
        <w:pStyle w:val="Heading3"/>
        <w:numPr>
          <w:ilvl w:val="2"/>
          <w:numId w:val="12"/>
        </w:numPr>
        <w:ind w:hanging="0" w:start="0"/>
        <w:rPr/>
      </w:pPr>
      <w:r>
        <w:rPr/>
        <w:t xml:space="preserve">all books and records relating to the Business; </w:t>
      </w:r>
    </w:p>
    <w:p>
      <w:pPr>
        <w:pStyle w:val="Heading3"/>
        <w:numPr>
          <w:ilvl w:val="2"/>
          <w:numId w:val="12"/>
        </w:numPr>
        <w:ind w:hanging="0" w:start="0"/>
        <w:rPr/>
      </w:pPr>
      <w:r>
        <w:rPr/>
        <w:t>all rights under any existing non-competition or non-solicitation agreement with any current or former employee of the Business, to the extent transferable hereunder;</w:t>
      </w:r>
    </w:p>
    <w:p>
      <w:pPr>
        <w:pStyle w:val="Heading3"/>
        <w:numPr>
          <w:ilvl w:val="2"/>
          <w:numId w:val="12"/>
        </w:numPr>
        <w:ind w:hanging="0" w:start="0"/>
        <w:rPr/>
      </w:pPr>
      <w:r>
        <w:rPr/>
        <w:t>all rights under any non-solicitation or non-hire agreement with any third party relating to employees of the Business;</w:t>
      </w:r>
    </w:p>
    <w:p>
      <w:pPr>
        <w:pStyle w:val="Heading3"/>
        <w:numPr>
          <w:ilvl w:val="2"/>
          <w:numId w:val="12"/>
        </w:numPr>
        <w:ind w:hanging="0" w:start="0"/>
        <w:rPr/>
      </w:pPr>
      <w:r>
        <w:rPr/>
        <w:t>other than as relate solely to Excluded Assets, all expenses and payments of the Business prepaid or advanced for periods after the Closing Date;</w:t>
      </w:r>
    </w:p>
    <w:p>
      <w:pPr>
        <w:pStyle w:val="Heading3"/>
        <w:numPr>
          <w:ilvl w:val="2"/>
          <w:numId w:val="12"/>
        </w:numPr>
        <w:ind w:hanging="0" w:start="0"/>
        <w:rPr/>
      </w:pPr>
      <w:r>
        <w:rPr/>
        <w:t xml:space="preserve">except as set forth on </w:t>
      </w:r>
      <w:r>
        <w:rPr>
          <w:u w:val="single"/>
        </w:rPr>
        <w:t>Schedule 2.1(i)</w:t>
      </w:r>
      <w:r>
        <w:rPr/>
        <w:t xml:space="preserve"> and except as relate solely to Excluded Assets or Excluded Liabilities, all rights to Claims available to or being pursued by any Seller or any Affiliate with respect to the Business or the ownership, use, function or value of any Asset, whether arising by way of counterclaim or otherwise (except arising pursuant to the transactions contemplated hereby);</w:t>
      </w:r>
    </w:p>
    <w:p>
      <w:pPr>
        <w:pStyle w:val="Heading3"/>
        <w:numPr>
          <w:ilvl w:val="2"/>
          <w:numId w:val="12"/>
        </w:numPr>
        <w:ind w:hanging="0" w:start="0"/>
        <w:rPr/>
      </w:pPr>
      <w:r>
        <w:rPr/>
        <w:t xml:space="preserve">except as otherwise provided in Section 2.2(j) and except as relate solely to the Excluded Assets or Excluded Liabilities, proceeds, benefits or claims related to any insurance coverage arising out of the insurance policies set forth in </w:t>
      </w:r>
      <w:r>
        <w:rPr>
          <w:u w:val="single"/>
        </w:rPr>
        <w:t>Schedule 2.1(j)(i)</w:t>
      </w:r>
      <w:r>
        <w:rPr/>
        <w:t xml:space="preserve"> with respect to the Claims listed on </w:t>
      </w:r>
      <w:r>
        <w:rPr>
          <w:u w:val="single"/>
        </w:rPr>
        <w:t>Schedule 2.1(j)(ii)</w:t>
      </w:r>
      <w:r>
        <w:rPr/>
        <w:t xml:space="preserve"> or otherwise arising out of or in connection with the Assets or the Business  or the Assumed Liabilities; </w:t>
      </w:r>
    </w:p>
    <w:p>
      <w:pPr>
        <w:pStyle w:val="Heading3"/>
        <w:numPr>
          <w:ilvl w:val="2"/>
          <w:numId w:val="12"/>
        </w:numPr>
        <w:ind w:hanging="0" w:start="0"/>
        <w:rPr/>
      </w:pPr>
      <w:r>
        <w:rPr/>
        <w:t>all Permits, to the extent transferable;</w:t>
      </w:r>
    </w:p>
    <w:p>
      <w:pPr>
        <w:pStyle w:val="Heading3"/>
        <w:numPr>
          <w:ilvl w:val="2"/>
          <w:numId w:val="12"/>
        </w:numPr>
        <w:ind w:hanging="0" w:start="0"/>
        <w:rPr/>
      </w:pPr>
      <w:r>
        <w:rPr/>
        <w:t xml:space="preserve">all stationery, purchase order and other forms, labels, shipping materials, brochures, graphic artwork, advertising materials and any similar items relating to the Business; </w:t>
      </w:r>
    </w:p>
    <w:p>
      <w:pPr>
        <w:pStyle w:val="Heading3"/>
        <w:numPr>
          <w:ilvl w:val="2"/>
          <w:numId w:val="12"/>
        </w:numPr>
        <w:ind w:hanging="0" w:start="0"/>
        <w:rPr/>
      </w:pPr>
      <w:r>
        <w:rPr>
          <w:lang w:eastAsia="en-US"/>
        </w:rPr>
        <w:t xml:space="preserve">all rights under contracts with third parties relating to the Business (other than as relate solely to Excluded Assets), including firm and non-firm transmission agreements (together with associated rights) with transmission-owning entities, power pool operators, and power administrations, software licenses (and other licenses of Business Intellectual Property), contracts for reproduction equipment, telecommunications and computer hardware and software leases, data agreements, agreements for the support and maintenance of facilities, reproduction equipment, telecommunications and computer hardware, software agreements relating to the development or use of Intellectual Property, the development or transmission of data, the use, modification, framing, linking, advertisements or other practices with respect to Internet web sites, employment agreements, non-solicitation agreements, non-competition agreements and consulting agreements, all to the extent transferable hereunder and only to the extent Buyer elects in writing prior to Closing, or, if any such contract is not listed on </w:t>
      </w:r>
      <w:r>
        <w:rPr>
          <w:u w:val="single"/>
          <w:lang w:eastAsia="en-US"/>
        </w:rPr>
        <w:t>Schedule 3.10</w:t>
      </w:r>
      <w:r>
        <w:rPr>
          <w:lang w:eastAsia="en-US"/>
        </w:rPr>
        <w:t>, to the extent that Buyer elects in writing within 10 Business Days of notification of the existence of such contract, to assume such contracts (the “</w:t>
      </w:r>
      <w:r>
        <w:rPr>
          <w:u w:val="single"/>
          <w:lang w:eastAsia="en-US"/>
        </w:rPr>
        <w:t>Assumed Contracts</w:t>
      </w:r>
      <w:r>
        <w:rPr>
          <w:lang w:eastAsia="en-US"/>
        </w:rPr>
        <w:t>”)</w:t>
      </w:r>
      <w:r>
        <w:rPr/>
        <w:t xml:space="preserve">; and </w:t>
      </w:r>
    </w:p>
    <w:p>
      <w:pPr>
        <w:pStyle w:val="Heading3"/>
        <w:numPr>
          <w:ilvl w:val="2"/>
          <w:numId w:val="12"/>
        </w:numPr>
        <w:ind w:hanging="0" w:start="0"/>
        <w:rPr/>
      </w:pPr>
      <w:r>
        <w:rPr/>
        <w:t>subscriptions to periodicals, books, and other similar materials relating to the Business.</w:t>
      </w:r>
    </w:p>
    <w:p>
      <w:pPr>
        <w:pStyle w:val="Heading2"/>
        <w:numPr>
          <w:ilvl w:val="1"/>
          <w:numId w:val="12"/>
        </w:numPr>
        <w:ind w:hanging="0" w:start="0"/>
        <w:rPr/>
      </w:pPr>
      <w:r>
        <w:rPr>
          <w:u w:val="single"/>
        </w:rPr>
        <w:t>Excluded Assets</w:t>
      </w:r>
      <w:r>
        <w:fldChar w:fldCharType="begin"/>
      </w:r>
      <w:r>
        <w:rPr/>
        <w:instrText xml:space="preserve"> TC "Section 2.2</w:instrText>
        <w:tab/>
        <w:instrText xml:space="preserve">Excluded Assets</w:instrText>
        <w:tab/>
        <w:instrText xml:space="preserve">“ \f C \l “2" \l 1 </w:instrText>
      </w:r>
      <w:r>
        <w:rPr/>
        <w:fldChar w:fldCharType="separate"/>
      </w:r>
      <w:r>
        <w:rPr/>
      </w:r>
      <w:r>
        <w:rPr/>
        <w:fldChar w:fldCharType="end"/>
      </w:r>
      <w:bookmarkStart w:id="16" w:name="__RefHeading___Toc535051536"/>
      <w:bookmarkEnd w:id="16"/>
      <w:r>
        <w:rPr/>
        <w:t>.  Anything to the contrary herein notwithstanding, all Sellers’ and their Affiliates’ right, title and interest in all of the following properties, assets and other rights (the “</w:t>
      </w:r>
      <w:r>
        <w:rPr>
          <w:u w:val="single"/>
        </w:rPr>
        <w:t>Excluded Assets</w:t>
      </w:r>
      <w:r>
        <w:rPr/>
        <w:t>”) shall be excluded from the Assets:</w:t>
      </w:r>
    </w:p>
    <w:p>
      <w:pPr>
        <w:pStyle w:val="Heading3"/>
        <w:numPr>
          <w:ilvl w:val="2"/>
          <w:numId w:val="12"/>
        </w:numPr>
        <w:ind w:hanging="0" w:start="0"/>
        <w:rPr/>
      </w:pPr>
      <w:r>
        <w:rPr/>
        <w:t>all trading positions and contracts, and all other pending transactions relating to commodities of any kind (including North American Gas and Electricity Commodities), with counterparties committed or entered into by or on behalf of, whether or not yet recorded on the books of, Sellers or any Affiliate of any Seller;</w:t>
      </w:r>
    </w:p>
    <w:p>
      <w:pPr>
        <w:pStyle w:val="Heading3"/>
        <w:numPr>
          <w:ilvl w:val="2"/>
          <w:numId w:val="12"/>
        </w:numPr>
        <w:ind w:hanging="0" w:start="0"/>
        <w:rPr/>
      </w:pPr>
      <w:r>
        <w:rPr/>
        <w:t>cash, cash equivalents, notes and accounts receivable and all notes, bonds and other evidence of indebtedness of any Person;</w:t>
      </w:r>
    </w:p>
    <w:p>
      <w:pPr>
        <w:pStyle w:val="Heading3"/>
        <w:numPr>
          <w:ilvl w:val="2"/>
          <w:numId w:val="12"/>
        </w:numPr>
        <w:ind w:hanging="0" w:start="0"/>
        <w:rPr/>
      </w:pPr>
      <w:r>
        <w:rPr/>
        <w:t>shares of capital stock, partnership interests, equity interests or other evidence of ownership or control of any Person or securities or other instruments convertible into, exchangeable or exercisable for any of the foregoing;</w:t>
      </w:r>
    </w:p>
    <w:p>
      <w:pPr>
        <w:pStyle w:val="Heading3"/>
        <w:numPr>
          <w:ilvl w:val="2"/>
          <w:numId w:val="12"/>
        </w:numPr>
        <w:ind w:hanging="0" w:start="0"/>
        <w:rPr/>
      </w:pPr>
      <w:r>
        <w:rPr/>
        <w:t>any assets of any Employee Benefit Plan and any rights under any Employee Benefit Plan or any contract, agreement or arrangement between any Employee and Sellers or any of their Affiliates;</w:t>
      </w:r>
    </w:p>
    <w:p>
      <w:pPr>
        <w:pStyle w:val="Heading3"/>
        <w:numPr>
          <w:ilvl w:val="2"/>
          <w:numId w:val="12"/>
        </w:numPr>
        <w:ind w:hanging="0" w:start="0"/>
        <w:rPr/>
      </w:pPr>
      <w:r>
        <w:rPr/>
        <w:t>all rights, demands, claims, Actions and causes of action (whether for personal injuries or property, consequential or other damages of any kind) (collectively, “</w:t>
      </w:r>
      <w:r>
        <w:rPr>
          <w:u w:val="single"/>
        </w:rPr>
        <w:t>Claims</w:t>
      </w:r>
      <w:r>
        <w:rPr/>
        <w:t xml:space="preserve">”) that any Seller, any Affiliate, or the Business may have, on or after the date hereof, against any Governmental Authority for refund or credit of any type with respect to Excluded Taxes; </w:t>
      </w:r>
    </w:p>
    <w:p>
      <w:pPr>
        <w:pStyle w:val="Heading3"/>
        <w:numPr>
          <w:ilvl w:val="2"/>
          <w:numId w:val="12"/>
        </w:numPr>
        <w:ind w:hanging="0" w:start="0"/>
        <w:rPr/>
      </w:pPr>
      <w:r>
        <w:rPr/>
        <w:t xml:space="preserve">all Claims that any Seller, any Affiliate, or the Business may have against any Person with respect to or that are exclusively related to any Excluded Liabilities or Excluded Assets, whether arising by counterclaim or otherwise; </w:t>
      </w:r>
    </w:p>
    <w:p>
      <w:pPr>
        <w:pStyle w:val="Heading3"/>
        <w:numPr>
          <w:ilvl w:val="2"/>
          <w:numId w:val="12"/>
        </w:numPr>
        <w:ind w:hanging="0" w:start="0"/>
        <w:rPr/>
      </w:pPr>
      <w:r>
        <w:rPr/>
        <w:t xml:space="preserve">proceeds, reserves, benefits or claims related to any insurance coverage arising out of the insurance policies set forth in </w:t>
      </w:r>
      <w:r>
        <w:rPr>
          <w:u w:val="single"/>
        </w:rPr>
        <w:t>Schedule 2.1(j)(i)</w:t>
      </w:r>
      <w:r>
        <w:rPr/>
        <w:t xml:space="preserve"> with respect to Claims arising out of or in connection with any Excluded Liabilities; </w:t>
      </w:r>
    </w:p>
    <w:p>
      <w:pPr>
        <w:pStyle w:val="Heading3"/>
        <w:numPr>
          <w:ilvl w:val="2"/>
          <w:numId w:val="12"/>
        </w:numPr>
        <w:ind w:hanging="0" w:start="0"/>
        <w:rPr>
          <w:b/>
        </w:rPr>
      </w:pPr>
      <w:r>
        <w:rPr/>
        <w:t xml:space="preserve">all rights under contracts with third parties relating to the Business other than Assumed Contracts (all such contracts are set forth on </w:t>
      </w:r>
      <w:r>
        <w:rPr>
          <w:u w:val="single"/>
        </w:rPr>
        <w:t>Schedule 2.2(h)</w:t>
      </w:r>
      <w:r>
        <w:rPr/>
        <w:t>);</w:t>
      </w:r>
    </w:p>
    <w:p>
      <w:pPr>
        <w:pStyle w:val="Heading3"/>
        <w:numPr>
          <w:ilvl w:val="2"/>
          <w:numId w:val="12"/>
        </w:numPr>
        <w:ind w:hanging="0" w:start="0"/>
        <w:rPr/>
      </w:pPr>
      <w:r>
        <w:rPr/>
        <w:t>each Seller’s minute books, stock transfer records, qualifications to conduct business as a foreign corporation and all other documents relating to the organization, maintenance and existence of each Seller as a corporation; and</w:t>
      </w:r>
    </w:p>
    <w:p>
      <w:pPr>
        <w:pStyle w:val="Heading3"/>
        <w:numPr>
          <w:ilvl w:val="2"/>
          <w:numId w:val="12"/>
        </w:numPr>
        <w:ind w:hanging="0" w:start="0"/>
        <w:rPr/>
      </w:pPr>
      <w:r>
        <w:rPr/>
        <w:t xml:space="preserve">any assets relating to the Business located outside North America and those assets listed on </w:t>
      </w:r>
      <w:r>
        <w:rPr>
          <w:u w:val="single"/>
        </w:rPr>
        <w:t>Schedule 2.2(j</w:t>
      </w:r>
      <w:r>
        <w:rPr/>
        <w:t>).</w:t>
      </w:r>
    </w:p>
    <w:p>
      <w:pPr>
        <w:pStyle w:val="Heading2"/>
        <w:numPr>
          <w:ilvl w:val="1"/>
          <w:numId w:val="12"/>
        </w:numPr>
        <w:ind w:hanging="0" w:start="0"/>
        <w:rPr/>
      </w:pPr>
      <w:r>
        <w:rPr>
          <w:u w:val="single"/>
        </w:rPr>
        <w:t>Assumption of Liabilities</w:t>
      </w:r>
      <w:r>
        <w:fldChar w:fldCharType="begin"/>
      </w:r>
      <w:r>
        <w:rPr/>
        <w:instrText xml:space="preserve"> TC "Section 2.3</w:instrText>
        <w:tab/>
        <w:instrText xml:space="preserve">Assumption of Liabilities</w:instrText>
        <w:tab/>
        <w:instrText xml:space="preserve">“ \f C \l “2" \l 1 </w:instrText>
      </w:r>
      <w:r>
        <w:rPr/>
        <w:fldChar w:fldCharType="separate"/>
      </w:r>
      <w:r>
        <w:rPr/>
      </w:r>
      <w:r>
        <w:rPr/>
        <w:fldChar w:fldCharType="end"/>
      </w:r>
      <w:bookmarkStart w:id="17" w:name="__RefHeading___Toc535051537"/>
      <w:bookmarkEnd w:id="17"/>
      <w:r>
        <w:rPr/>
        <w:t>.  At the Closing, U.S. Buyer and Canadian Buyer will assume only the Liabilities and obligations arising under the Assumed Contracts following the Closing related to the U.S. and Canadian portions of the Business, respectively, and not relating in whole or in part to any period prior to the Closing Date (the “</w:t>
      </w:r>
      <w:r>
        <w:rPr>
          <w:u w:val="single"/>
        </w:rPr>
        <w:t>Assumed Liabilities</w:t>
      </w:r>
      <w:r>
        <w:rPr/>
        <w:t>”), and shall not become liable for any other Liabilities or obligations of Sellers whether in respect of the Business or Assets or otherwise.</w:t>
      </w:r>
    </w:p>
    <w:p>
      <w:pPr>
        <w:pStyle w:val="Heading2"/>
        <w:numPr>
          <w:ilvl w:val="1"/>
          <w:numId w:val="12"/>
        </w:numPr>
        <w:ind w:hanging="0" w:start="0"/>
        <w:rPr/>
      </w:pPr>
      <w:r>
        <w:rPr>
          <w:u w:val="single"/>
        </w:rPr>
        <w:t>No Other Liabilities Assumed</w:t>
      </w:r>
      <w:r>
        <w:fldChar w:fldCharType="begin"/>
      </w:r>
      <w:r>
        <w:rPr/>
        <w:instrText xml:space="preserve"> TC "Section 2.4</w:instrText>
        <w:tab/>
        <w:instrText xml:space="preserve">No Other Liabilities Assumed</w:instrText>
        <w:tab/>
        <w:instrText xml:space="preserve"> </w:instrText>
        <w:tab/>
        <w:instrText xml:space="preserve">“ \f C \l “2" \l 1 </w:instrText>
      </w:r>
      <w:r>
        <w:rPr/>
        <w:fldChar w:fldCharType="separate"/>
      </w:r>
      <w:r>
        <w:rPr/>
      </w:r>
      <w:r>
        <w:rPr/>
        <w:fldChar w:fldCharType="end"/>
      </w:r>
      <w:bookmarkStart w:id="18" w:name="__RefHeading___Toc535051538"/>
      <w:bookmarkEnd w:id="18"/>
      <w:r>
        <w:rPr/>
        <w:t>.  Anything to the contrary contained herein notwithstanding, the parties hereto agree that Buyer shall not and does not assume any Liability or obligation whatsoever (including Liabilities for Taxes or other Excluded Taxes and Liabilities and obligations relating to the conduct of the Business or to the Assets (and use thereof) at any time on or prior to the Closing Date or any other Liability or obligation of any Seller or its Affiliate), except as expressly provided in Section 2.3, whether relating to or arising out of the Business or Assets or otherwise, fixed or contingent, disclosed or undisclosed (collectively, the “</w:t>
      </w:r>
      <w:r>
        <w:rPr>
          <w:u w:val="single"/>
        </w:rPr>
        <w:t>Excluded Liabilities</w:t>
      </w:r>
      <w:r>
        <w:rPr/>
        <w:t>”).</w:t>
      </w:r>
    </w:p>
    <w:p>
      <w:pPr>
        <w:pStyle w:val="Heading2"/>
        <w:numPr>
          <w:ilvl w:val="1"/>
          <w:numId w:val="12"/>
        </w:numPr>
        <w:ind w:hanging="0" w:start="0"/>
        <w:rPr/>
      </w:pPr>
      <w:r>
        <w:rPr>
          <w:u w:val="single"/>
        </w:rPr>
        <w:t>Tax Treatment</w:t>
      </w:r>
      <w:r>
        <w:fldChar w:fldCharType="begin"/>
      </w:r>
      <w:r>
        <w:rPr/>
        <w:instrText xml:space="preserve"> TC "Section 2.5</w:instrText>
        <w:tab/>
        <w:instrText xml:space="preserve">Tax Treatment</w:instrText>
        <w:tab/>
        <w:instrText xml:space="preserve">“ \f C \l “2" \l 1 </w:instrText>
      </w:r>
      <w:r>
        <w:rPr/>
        <w:fldChar w:fldCharType="separate"/>
      </w:r>
      <w:r>
        <w:rPr/>
      </w:r>
      <w:r>
        <w:rPr/>
        <w:fldChar w:fldCharType="end"/>
      </w:r>
      <w:bookmarkStart w:id="19" w:name="__RefHeading___Toc535051539"/>
      <w:bookmarkEnd w:id="19"/>
      <w:r>
        <w:rPr/>
        <w:t>.  Sellers and U.S. Buyer and Canadian Buyer shall consult with each other and attempt in good faith to agree on the allocation of the consideration set forth in Section 2.6 and all other capitalizable costs among the Assets, based on fair market values and consistent with section 1060 of the Code and, to the extent relevant, the Income Tax Act (Canada) (collectively, the “</w:t>
      </w:r>
      <w:r>
        <w:rPr>
          <w:u w:val="single"/>
        </w:rPr>
        <w:t>Allocation</w:t>
      </w:r>
      <w:r>
        <w:rPr/>
        <w:t>”).  If and to the extent that the parties so agree, Buyer and each Seller shall act in accordance with the Allocation for all Tax purposes, including for purposes of any Returns (such as IRS Form 8594 or any other forms or reports required to be filed pursuant to section 1060 of the Code or any comparable provisions of local, state or foreign law (“</w:t>
      </w:r>
      <w:r>
        <w:rPr>
          <w:u w:val="single"/>
        </w:rPr>
        <w:t>Section 1060 Forms</w:t>
      </w:r>
      <w:r>
        <w:rPr/>
        <w:t xml:space="preserve">”)), and to refrain from taking any position inconsistent with the Allocation.  Buyer and Sellers agree to cooperate in the preparation of any such Section 1060 Forms and to timely file such Section 1060 Forms in the manner required by Applicable Law.  Buyer and Sellers shall also consult with each other and attempt in good faith to agree as to the fair market value of the portion of the consideration described in Section 2.6(a).  The parties agree to treat all payments made under any indemnity provision contained in this Agreement or pursuant to Sections 2.6(b) and 2.6(c) as adjustments to the Purchase Price for Tax purposes. </w:t>
      </w:r>
    </w:p>
    <w:p>
      <w:pPr>
        <w:pStyle w:val="Heading2"/>
        <w:numPr>
          <w:ilvl w:val="1"/>
          <w:numId w:val="12"/>
        </w:numPr>
        <w:ind w:hanging="0" w:start="0"/>
        <w:rPr/>
      </w:pPr>
      <w:r>
        <w:rPr>
          <w:u w:val="single"/>
        </w:rPr>
        <w:t>Consideration</w:t>
      </w:r>
      <w:r>
        <w:fldChar w:fldCharType="begin"/>
      </w:r>
      <w:r>
        <w:rPr/>
        <w:instrText xml:space="preserve"> TC "Section 2.6</w:instrText>
        <w:tab/>
        <w:instrText xml:space="preserve">Consideration</w:instrText>
        <w:tab/>
        <w:instrText xml:space="preserve">“ \f C \l “2" \l 1 </w:instrText>
      </w:r>
      <w:r>
        <w:rPr/>
        <w:fldChar w:fldCharType="separate"/>
      </w:r>
      <w:r>
        <w:rPr/>
      </w:r>
      <w:r>
        <w:rPr/>
        <w:fldChar w:fldCharType="end"/>
      </w:r>
      <w:bookmarkStart w:id="20" w:name="__RefHeading___Toc535051540"/>
      <w:bookmarkEnd w:id="20"/>
      <w:r>
        <w:rPr/>
        <w:t xml:space="preserve">.  (a)  </w:t>
      </w:r>
      <w:r>
        <w:rPr>
          <w:u w:val="single"/>
        </w:rPr>
        <w:t>Initial Consideration</w:t>
      </w:r>
      <w:r>
        <w:rPr/>
        <w:t>.  Subject to the terms and conditions hereof, at the Closing, Buyer shall</w:t>
      </w:r>
      <w:r>
        <w:rPr>
          <w:b/>
        </w:rPr>
        <w:t xml:space="preserve"> </w:t>
      </w:r>
      <w:r>
        <w:rPr/>
        <w:t>deliver to the order of Sellers $100 million aggregate principal amount of unsecured claims against Enron and/or its Affiliates (the “</w:t>
      </w:r>
      <w:r>
        <w:rPr>
          <w:u w:val="single"/>
        </w:rPr>
        <w:t>Initial Consideration</w:t>
      </w:r>
      <w:r>
        <w:rPr/>
        <w:t xml:space="preserve">”). </w:t>
      </w:r>
    </w:p>
    <w:p>
      <w:pPr>
        <w:pStyle w:val="Heading3"/>
        <w:numPr>
          <w:ilvl w:val="2"/>
          <w:numId w:val="21"/>
        </w:numPr>
        <w:rPr/>
      </w:pPr>
      <w:r>
        <w:rPr>
          <w:u w:val="single"/>
        </w:rPr>
        <w:t>Annual Payments</w:t>
      </w:r>
      <w:r>
        <w:rPr/>
        <w:t>.  Subject to the terms and conditions of this Section 2.6, following the end of each Fiscal Year beginning with the Fiscal Year 2002 until the Enron Percentage is reduced to zero, Buyer shall make to Sellers a payment (the “</w:t>
      </w:r>
      <w:r>
        <w:rPr>
          <w:u w:val="single"/>
        </w:rPr>
        <w:t>Annual Share</w:t>
      </w:r>
      <w:r>
        <w:rPr/>
        <w:t>”) of 35% (as it may be reduced as set forth herein, the “</w:t>
      </w:r>
      <w:r>
        <w:rPr>
          <w:u w:val="single"/>
        </w:rPr>
        <w:t>Enron Percentage</w:t>
      </w:r>
      <w:r>
        <w:rPr/>
        <w:t>”) of Adjusted Pre-tax Income, if positive, of Buyer for such Fiscal Year; provided that the Annual Share shall be reduced by the Holdback Amount until the aggregate amount of the Holdback Amounts reaches the Maximum Deferred Contribution Amount (the Annual Share after such reduction, the “</w:t>
      </w:r>
      <w:r>
        <w:rPr>
          <w:u w:val="single"/>
        </w:rPr>
        <w:t>Distributable Annual Share</w:t>
      </w:r>
      <w:r>
        <w:rPr/>
        <w:t>”).  The cumulative Holdback Amounts, less any reductions as provided herein, is referred to as the “</w:t>
      </w:r>
      <w:r>
        <w:rPr>
          <w:u w:val="single"/>
        </w:rPr>
        <w:t>Enron Account</w:t>
      </w:r>
      <w:r>
        <w:rPr/>
        <w:t>.”  Within 90 days following the end of each Fiscal Year beginning with Fiscal Year 2002, Buyer shall prepare in good faith and deliver to Sellers a statement of Adjusted Pre-tax Income for such Fiscal Year audited by independent public accountants selected by Citigroup, which statement shall summarize any changes in Buyer’s accounting policies from the prior Fiscal Year that materially affect the calculation of Adjusted Pre-Tax Income.  Subject to Section 2.7, Buyer shall pay to Sellers the Distributable Annual Share within 30 days after delivery of such statement of Adjusted Pre-tax Income.  In addition to such other reductions as provided for herein, the Enron Percentage shall be further reduced, with such reduction to be in addition to any previous reductions that have occurred.  In the event that (x) the Canadian Assets are not transferred to Buyer on or prior to February 28, 2002, by way or a Vesting Order, the Enron Percentage shall be reduced to 30% (the Enron Percentage as reduced in accordance with this sentence, if applicable, shall be referred to herein as the “</w:t>
      </w:r>
      <w:r>
        <w:rPr>
          <w:u w:val="single"/>
        </w:rPr>
        <w:t>Initial Enron Percentage</w:t>
      </w:r>
      <w:r>
        <w:rPr/>
        <w:t>”) or (y) there shall be (1) any breach of Sellers’ representations and warranties contained in Section 3.6(e), any breach by Sellers of the covenant contained in Section 5.19 or a Third Party License shall otherwise come into existence and (2) any Intellectual Property exclusively licensed to Buyer or any of its Affiliates under the License Agreements is or has been commercially exploited by any Person in such a manner that, were such Person bound by the terms of Section 5.8, such Person would be in breach of the terms of Section 5.8, then the Enron Percentage shall be reduced by 2,500 basis points (but not below zero), it being understood that such reduction shall be in addition to any other remedies Buyer may have hereunder in respect of such breach.</w:t>
      </w:r>
    </w:p>
    <w:p>
      <w:pPr>
        <w:pStyle w:val="Heading3"/>
        <w:keepNext w:val="true"/>
        <w:numPr>
          <w:ilvl w:val="2"/>
          <w:numId w:val="12"/>
        </w:numPr>
        <w:ind w:hanging="0" w:start="0"/>
        <w:rPr/>
      </w:pPr>
      <w:r>
        <w:rPr>
          <w:u w:val="single"/>
        </w:rPr>
        <w:t>Termination Payment</w:t>
      </w:r>
      <w:r>
        <w:rPr/>
        <w:t xml:space="preserve">.  </w:t>
      </w:r>
    </w:p>
    <w:p>
      <w:pPr>
        <w:pStyle w:val="Heading4"/>
        <w:numPr>
          <w:ilvl w:val="3"/>
          <w:numId w:val="12"/>
        </w:numPr>
        <w:ind w:hanging="0" w:start="0"/>
        <w:rPr/>
      </w:pPr>
      <w:r>
        <w:rPr>
          <w:u w:val="single"/>
        </w:rPr>
        <w:t>Buyer’s Option</w:t>
      </w:r>
      <w:r>
        <w:rPr/>
        <w:t>.  During the 15-day period following the agreement (or deemed agreement pursuant to Section 2.7) on the statement of Adjusted Pre-tax Income for the prior Fiscal Year (the “</w:t>
      </w:r>
      <w:r>
        <w:rPr>
          <w:u w:val="single"/>
        </w:rPr>
        <w:t>Termination Window</w:t>
      </w:r>
      <w:r>
        <w:rPr/>
        <w:t>”) with respect to any Fiscal Years 2004 through 2009 until the Enron Percentage is reduced to zero, Buyer shall have the right to reduce the Enron Percentage by making a Partial Termination Payment to Sellers (a “</w:t>
      </w:r>
      <w:r>
        <w:rPr>
          <w:u w:val="single"/>
        </w:rPr>
        <w:t>Partial Call Right</w:t>
      </w:r>
      <w:r>
        <w:rPr/>
        <w:t>”).  Buyer shall exercise its Partial Call Right by delivery of a written notice to such effect to Sellers during the Termination Window.  Upon delivery of Buyer’s notice of exercise of its Partial Call Right, Sellers shall have no rights hereunder, including with respect to any Annual Share Payments, with respect to the one-third or one-half of the Enron Percentage to be extinguished, as applicable, except the right to receive the applicable Partial Termination Payment as set forth below.  “</w:t>
      </w:r>
      <w:r>
        <w:rPr>
          <w:u w:val="single"/>
        </w:rPr>
        <w:t>Partial Termination Payment</w:t>
      </w:r>
      <w:r>
        <w:rPr/>
        <w:t xml:space="preserve">” means the product of the Partial Termination Value times the Enron Percentage at the time of such Partial Termination Payment, divided by three (in the case of the first Partial Termination Payment, other than if the first Partial Termination Payment relates to the Fiscal Year 2009), divided by two (in the case of the first Partial Termination Payment if it relates to Fiscal Year 2009, or any second Partial Termination Payment), or otherwise divided by one; </w:t>
      </w:r>
      <w:r>
        <w:rPr>
          <w:u w:val="single"/>
        </w:rPr>
        <w:t>provided</w:t>
      </w:r>
      <w:r>
        <w:rPr/>
        <w:t xml:space="preserve"> that if any Partial Termination Payment would otherwise be less than the amount (the “</w:t>
      </w:r>
      <w:r>
        <w:rPr>
          <w:u w:val="single"/>
        </w:rPr>
        <w:t>Floor Amount</w:t>
      </w:r>
      <w:r>
        <w:rPr/>
        <w:t>”) equal to (1) the product of (a) the Enron Account at the time of such Partial Termination Payment multiplied by (b) the portion of the Enron Percentage being extinguished by such Partial Termination Payment (the “</w:t>
      </w:r>
      <w:r>
        <w:rPr>
          <w:u w:val="single"/>
        </w:rPr>
        <w:t>Proportionate Enron Account</w:t>
      </w:r>
      <w:r>
        <w:rPr/>
        <w:t>”), less (2) the absolute value of any negative Adjusted Pre-tax Income accrued as of the end of the year as to which the Partial Termination Payment relates, then the Partial Termination Payment shall be increased to an amount equal to the Floor Amount (such increase being referred to as the “</w:t>
      </w:r>
      <w:r>
        <w:rPr>
          <w:u w:val="single"/>
        </w:rPr>
        <w:t>Excess Amount</w:t>
      </w:r>
      <w:r>
        <w:rPr/>
        <w:t>”); provided, further, that any Excess Amount shall reduce future Termination Payments if and to the extent that any future Termination Payments exceed the Floor Amount with respect to such future Termination Payment.  Following each Partial Termination Payment, (i) the then-current Enron Percentage shall be reduced by an amount equal to one-third of the Initial Enron Percentage, or one-half of the Initial Enron Percentage with respect to the first Partial Termination Payment if it relates to the Fiscal Year 2009, and (ii) the then-current Enron Account shall be reduced by the same percentage reduction as the percentage reduction in the Enron Percentage.</w:t>
      </w:r>
    </w:p>
    <w:p>
      <w:pPr>
        <w:pStyle w:val="Heading4"/>
        <w:numPr>
          <w:ilvl w:val="3"/>
          <w:numId w:val="12"/>
        </w:numPr>
        <w:ind w:hanging="0" w:start="0"/>
        <w:rPr/>
      </w:pPr>
      <w:r>
        <w:rPr>
          <w:u w:val="single"/>
        </w:rPr>
        <w:t>Sellers’ Option</w:t>
      </w:r>
      <w:r>
        <w:rPr/>
        <w:t>.  During the Termination Window with respect to any of the Fiscal Years 2006 through 2009, Enron shall have the option to elect to reduce the Enron Percentage and require Buyer to make a Partial Termination Payment to Sellers. Enron shall exercise such right by delivery of a written notice to such effect to Buyer during the Termination Window.  After delivery of such written notice, Sellers shall have no rights hereunder, including with respect to any Annual Share Payments, with respect to the one-third or one-half of the Enron Percentage to be extinguished, as applicable, except the right to receive the applicable Partial Termination Payment.</w:t>
      </w:r>
    </w:p>
    <w:p>
      <w:pPr>
        <w:pStyle w:val="Heading4"/>
        <w:numPr>
          <w:ilvl w:val="3"/>
          <w:numId w:val="12"/>
        </w:numPr>
        <w:ind w:hanging="0" w:start="0"/>
        <w:rPr/>
      </w:pPr>
      <w:r>
        <w:rPr>
          <w:u w:val="single"/>
        </w:rPr>
        <w:t>Other Payments of Full Termination Amount</w:t>
      </w:r>
      <w:r>
        <w:rPr/>
        <w:t>.  Buyer shall pay to Sellers the Full Termination Payment and shall terminate all Annual Share Payments following the Fiscal Year ending December 31, 2010.  In addition, Buyer may elect to terminate all Annual Share Payments by paying to Sellers the Full Termination Payment (1) after the sale or merger, or sale of all or substantially all of the assets, of Buyer (other than any such transaction as is solely among Affiliates of Parent) at any time after the Fiscal Year 2004 (or following such transaction at any time if Buyer or its Affiliates is required by any Governmental Authority to exit the Business or materially reduce the scope of the Business) (a “</w:t>
      </w:r>
      <w:r>
        <w:rPr>
          <w:u w:val="single"/>
        </w:rPr>
        <w:t>Sale Event</w:t>
      </w:r>
      <w:r>
        <w:rPr/>
        <w:t>”), or (2) if at any time Buyer determines in its good faith judgment, based on the opinion of outside legal counsel, that it shall be reasonably likely to become subject to registration or reporting obligations under the U.S. or other securities laws (other than if Buyer becomes subject to such registration or reporting obligations through by electing to take any action that it is not required by any Governmental Authority to take) (a “</w:t>
      </w:r>
      <w:r>
        <w:rPr>
          <w:u w:val="single"/>
        </w:rPr>
        <w:t>Securities Law Event</w:t>
      </w:r>
      <w:r>
        <w:rPr/>
        <w:t>”).  Within 90 days of any event described in the preceding sentence of this Section 2.6(c)(iii), Buyer shall deliver to Sellers a statement of Adjusted Pre-tax Income for the periods necessary to determine, and which statement shall specify, the Full Termination Payment with respect thereto.  Subject to Section 2.7, Buyer shall pay to Sellers the Full Termination Payment within 30 days thereafter.  After delivery of such written notice, Sellers shall have no rights hereunder, including with respect to any Annual Share Payments, other than to receive the Full Termination Payment.  Upon payment of the Full Termination Payment, the Enron Percentage and the Enron Account shall equal zero.</w:t>
      </w:r>
    </w:p>
    <w:p>
      <w:pPr>
        <w:pStyle w:val="Heading4"/>
        <w:numPr>
          <w:ilvl w:val="3"/>
          <w:numId w:val="12"/>
        </w:numPr>
        <w:tabs>
          <w:tab w:val="clear" w:pos="720"/>
          <w:tab w:val="left" w:pos="9320" w:leader="none"/>
        </w:tabs>
        <w:ind w:hanging="0" w:start="0"/>
        <w:rPr/>
      </w:pPr>
      <w:r>
        <w:rPr>
          <w:u w:val="single"/>
        </w:rPr>
        <w:t>Business Shutdown</w:t>
      </w:r>
      <w:r>
        <w:rPr/>
        <w:t>. Buyer may elect in its sole and absolute discretion to shut down the Business at any time, and in addition shall be deemed to have shut down the Business if Buyer ceases to utilize the services of in excess of 50 full-time equivalent employees (directly or indirectly, whether through secondment or otherwise, including any employee of Parent or its Affiliates for whom costs are allocated to Buyer) (any such event being referred to as a “</w:t>
      </w:r>
      <w:r>
        <w:rPr>
          <w:u w:val="single"/>
        </w:rPr>
        <w:t>Business Shut Down</w:t>
      </w:r>
      <w:r>
        <w:rPr/>
        <w:t xml:space="preserve">”).  In the event of a Business Shut Down, the Enron Percentage shall be reduced to zero and Buyer shall have no obligation to make any further payments to Sellers hereunder; provided, that if the Enron Account at the time of such Business Shut Down (reduced by the product of the Enron Percentage and Aggregate Shut Down Costs) exceeds the amount, if any, of Partial Termination Payments previously paid by Buyer, Buyer shall pay Enron the amount of such excess.  If a Business Shut Down first occurs after the first anniversary of the Closing and the Aggregate Shut Down Costs are less than $25 million, Enron may terminate the exclusive License Agreement to Buyer (all other License Agreements or arrangements shall remain in full force and effect); </w:t>
      </w:r>
      <w:r>
        <w:rPr>
          <w:u w:val="single"/>
        </w:rPr>
        <w:t>provided</w:t>
      </w:r>
      <w:r>
        <w:rPr/>
        <w:t xml:space="preserve">, that Citigroup shall retain a perpetual, fully-paid, worldwide and royalty-free license to use the Licensed Intellectual Property in connection with trading of Financial Products), subject to Sellers granting Buyer a lien on the Licensed Intellectual Property (and any proceeds derived from the exploitation or disposition thereof) securing the payment by Sellers to Buyer of an amount equal to the of the Aggregate Shut Down Costs; </w:t>
      </w:r>
      <w:r>
        <w:rPr>
          <w:u w:val="single"/>
        </w:rPr>
        <w:t>provided</w:t>
      </w:r>
      <w:r>
        <w:rPr/>
        <w:t xml:space="preserve">, </w:t>
      </w:r>
      <w:r>
        <w:rPr>
          <w:u w:val="single"/>
        </w:rPr>
        <w:t>however</w:t>
      </w:r>
      <w:r>
        <w:rPr/>
        <w:t>, that such payment shall be with recourse only to such Licensed Intellectual Property (and any proceeds derived from the exploitation or disposition thereof), and the amount of such payment shall be capped at the value of such Licensed Intellectual Property, calculated on the basis of any proceeds derived from the exploitation or disposition thereof.</w:t>
      </w:r>
    </w:p>
    <w:p>
      <w:pPr>
        <w:pStyle w:val="Heading4"/>
        <w:numPr>
          <w:ilvl w:val="3"/>
          <w:numId w:val="12"/>
        </w:numPr>
        <w:ind w:hanging="0" w:start="0"/>
        <w:rPr/>
      </w:pPr>
      <w:r>
        <w:rPr>
          <w:u w:val="single"/>
        </w:rPr>
        <w:t>Set-Off</w:t>
      </w:r>
      <w:r>
        <w:rPr/>
        <w:t>.  Notwithstanding anything to the contrary, all payments to Sellers under this Agreement, and/or the Enron Account, shall be subject to holdback and setoff for Claims of Buyer or Parent hereunder.</w:t>
      </w:r>
    </w:p>
    <w:p>
      <w:pPr>
        <w:pStyle w:val="Heading3"/>
        <w:numPr>
          <w:ilvl w:val="2"/>
          <w:numId w:val="12"/>
        </w:numPr>
        <w:ind w:hanging="0" w:start="0"/>
        <w:rPr/>
      </w:pPr>
      <w:r>
        <w:rPr>
          <w:u w:val="single"/>
        </w:rPr>
        <w:t>Allocation of Consideration</w:t>
      </w:r>
      <w:r>
        <w:rPr/>
        <w:t>.  Upon the closing of the sale of the Canadian Assets, (i) Sellers shall allocate</w:t>
      </w:r>
      <w:r>
        <w:rPr>
          <w:lang w:val="en-CA" w:eastAsia="en-US"/>
        </w:rPr>
        <w:t xml:space="preserve"> the Initial Consideration as among those Sellers that are Canadian Sellers and those Seller that are not Canadian Sellers in a manner that is consistent with Section 2.5, and (ii) Sellers shall allocate to the Canadian Sellers a portion of the payments required to be made by Buyer in Sections 2.6(b) and (c) in a manner that approximates the proportion revenues historically generated by the Canadian Assets to those historically generated by the non-Canadian Assets of the Business.  To the extent that Applicable Law requires the Canadian Buyer or the U.S. Buyer to withhold and remit amounts from any amount paid or payable to the Sellers under this Agreement, such amounts that are so withheld and remitted by the Buyers shall constitute full satisfaction of that portion of the Buyers’ obligation to pay such amounts to the Sellers.</w:t>
      </w:r>
    </w:p>
    <w:p>
      <w:pPr>
        <w:pStyle w:val="Heading2"/>
        <w:numPr>
          <w:ilvl w:val="1"/>
          <w:numId w:val="12"/>
        </w:numPr>
        <w:ind w:hanging="0" w:start="0"/>
        <w:rPr>
          <w:b/>
        </w:rPr>
      </w:pPr>
      <w:r>
        <w:rPr>
          <w:u w:val="single"/>
        </w:rPr>
        <w:t>Dispute Resolution</w:t>
      </w:r>
      <w:r>
        <w:fldChar w:fldCharType="begin"/>
      </w:r>
      <w:r>
        <w:rPr/>
        <w:instrText xml:space="preserve"> TC "Section 2.7</w:instrText>
        <w:tab/>
        <w:instrText xml:space="preserve">Dispute Resolution</w:instrText>
        <w:tab/>
        <w:instrText xml:space="preserve">“ \f C \l “2" \l 1 </w:instrText>
      </w:r>
      <w:r>
        <w:rPr/>
        <w:fldChar w:fldCharType="separate"/>
      </w:r>
      <w:r>
        <w:rPr/>
      </w:r>
      <w:r>
        <w:rPr/>
        <w:fldChar w:fldCharType="end"/>
      </w:r>
      <w:bookmarkStart w:id="21" w:name="__RefHeading___Toc535051541"/>
      <w:bookmarkEnd w:id="21"/>
      <w:r>
        <w:rPr/>
        <w:t>.  (a)  Following the delivery of a statement of Adjusted Pre-tax Income or a notice of a Sale Event or a Securities Law Event (a “</w:t>
      </w:r>
      <w:r>
        <w:rPr>
          <w:u w:val="single"/>
        </w:rPr>
        <w:t>Statement</w:t>
      </w:r>
      <w:r>
        <w:rPr/>
        <w:t xml:space="preserve">”) to Sellers, Buyer shall pay to Sellers the Distributable Annual Share or a Termination Payment in accordance with the applicable provisions of Section 2.6; </w:t>
      </w:r>
      <w:r>
        <w:rPr>
          <w:u w:val="single"/>
        </w:rPr>
        <w:t>provided</w:t>
      </w:r>
      <w:r>
        <w:rPr/>
        <w:t>, that if the calculation of any such payment is disputed (it being understood that such statement itself may only be disputed by Sellers if it has not been prepared in accordance with the definition of Adjusted Pre-tax Income), such dispute shall be resolved in the following manner:</w:t>
      </w:r>
    </w:p>
    <w:p>
      <w:pPr>
        <w:pStyle w:val="Heading4"/>
        <w:numPr>
          <w:ilvl w:val="3"/>
          <w:numId w:val="12"/>
        </w:numPr>
        <w:ind w:hanging="0" w:start="0"/>
        <w:rPr/>
      </w:pPr>
      <w:r>
        <w:rPr/>
        <w:t>Sellers shall notify Buyer in writing within thirty days after Sellers’ receipt of such Statement, which notice shall specify in reasonable detail the nature of the dispute and set forth Sellers’ alternative calculation of Adjusted Pre-tax Income (a “</w:t>
      </w:r>
      <w:r>
        <w:rPr>
          <w:u w:val="single"/>
        </w:rPr>
        <w:t>Notice of Dispute</w:t>
      </w:r>
      <w:r>
        <w:rPr/>
        <w:t>”).  If Sellers do not provide a Notice of Dispute to Buyer within such time period, Sellers shall be deemed to have accepted and agreed to the Statement as delivered by Buyer to Sellers.  Notwithstanding this Section 2.7, the payment of any portion of any Distributable Annual Share or Termination Payment as to which a Notice of Dispute specifies there is no dispute shall be paid in accordance with the applicable provisions of Section 2.6 unless the dispute implicates or may implicate such portion.</w:t>
      </w:r>
    </w:p>
    <w:p>
      <w:pPr>
        <w:pStyle w:val="Heading4"/>
        <w:numPr>
          <w:ilvl w:val="3"/>
          <w:numId w:val="12"/>
        </w:numPr>
        <w:ind w:hanging="0" w:start="0"/>
        <w:rPr/>
      </w:pPr>
      <w:r>
        <w:rPr/>
        <w:t>During the thirty-day period following Buyer’s receipt of such notice (or such longer period as the parties may agree), Sellers and Buyer shall attempt to resolve such dispute.</w:t>
      </w:r>
    </w:p>
    <w:p>
      <w:pPr>
        <w:pStyle w:val="Heading4"/>
        <w:numPr>
          <w:ilvl w:val="3"/>
          <w:numId w:val="12"/>
        </w:numPr>
        <w:ind w:hanging="0" w:start="0"/>
        <w:rPr/>
      </w:pPr>
      <w:r>
        <w:rPr/>
        <w:t>If, at the end of the thirty-day period specified in subsection (ii) above, Sellers and Buyer shall have failed to reach a written accord with respect to such dispute, the dispute shall be arbitrated by the New York, New York office of a mutually agreed upon nationally recognized accounting firm (the “</w:t>
      </w:r>
      <w:r>
        <w:rPr>
          <w:u w:val="single"/>
        </w:rPr>
        <w:t>Neutral Auditor</w:t>
      </w:r>
      <w:r>
        <w:rPr/>
        <w:t>”) to whom shall be submitted the Statement and the Notice of Dispute.  The Neutral Auditor shall arbitrate based solely on the provisions of this Agreement and presentations by Sellers and Buyer, and not by independent review.  The determination of Adjusted Pre-tax Income by the Neutral Auditor (the “</w:t>
      </w:r>
      <w:r>
        <w:rPr>
          <w:u w:val="single"/>
        </w:rPr>
        <w:t>Auditor’s Determination</w:t>
      </w:r>
      <w:r>
        <w:rPr/>
        <w:t xml:space="preserve">”) in accordance with the provisions hereof shall be final and binding, and there shall be no right of appeal therefrom.  Each party shall bear its own fees and expenses (including attorneys’ fees and expenses) in the arbitration, and each party shall pay one-half the fees and expenses of the Neutral Auditor; </w:t>
      </w:r>
      <w:r>
        <w:rPr>
          <w:u w:val="single"/>
        </w:rPr>
        <w:t>provided</w:t>
      </w:r>
      <w:r>
        <w:rPr/>
        <w:t xml:space="preserve">, </w:t>
      </w:r>
      <w:r>
        <w:rPr>
          <w:u w:val="single"/>
        </w:rPr>
        <w:t>however</w:t>
      </w:r>
      <w:r>
        <w:rPr/>
        <w:t xml:space="preserve">, that (A) if the absolute value of the difference between the Auditor’s Determination and Sellers’ calculation of the Adjusted Pre-tax Income set forth on the Notice of Dispute shall be greater than the absolute value of the difference between the Auditor’s Determination and Buyer’s calculation of Adjusted Pre-tax Income set forth on the Statement, and Sellers’ calculation of Adjusted Pre-tax Income on the Notice of Dispute is not within +/- 10% of the Auditor’s Determination, then Sellers shall pay all fees and expenses of the Neutral Auditor and shall pay Buyer those out-of-pocket costs and expenses (including attorneys’ fees and expenses) incurred by Buyer in the arbitration, and (B) if the absolute value of the difference between the Auditor’s Determination and the Buyer’s calculation of the Adjusted Pre-tax Income set forth on the Statement shall be greater than the absolute value of the difference between the Auditor’s Determination and the Sellers’ calculation of Adjusted Pre-tax Income set forth on the Notice of Dispute, and Buyer’s calculation of Audited Pre-tax Income on the Statement is not within +/- 10% of the Auditor’s Determination, then Buyer shall pay all fees and expenses of the Neutral Auditor and shall pay Sellers those out-of-pocket costs and expenses (including attorneys’ fees and expenses) incurred by Sellers in the arbitration.  Buyer shall pay to Sellers the Distributable Annual Share, a Partial Termination Payment or the Full Termination Payment in accordance with Section 2.6 based on the final decision of the Neutral Auditor with respect to the Statement no later than fifteen days following such final decision. </w:t>
      </w:r>
    </w:p>
    <w:p>
      <w:pPr>
        <w:pStyle w:val="Heading3"/>
        <w:numPr>
          <w:ilvl w:val="2"/>
          <w:numId w:val="12"/>
        </w:numPr>
        <w:ind w:hanging="0" w:start="0"/>
        <w:rPr/>
      </w:pPr>
      <w:r>
        <w:rPr/>
        <w:t>From the date that Buyer delivers to Sellers a Statement until the final determination of such Statement, Buyer will grant to Sellers and their respective representatives and accountants reasonable access during usual business hours to agents and employees of Sellers and to the books and records of the Business to enable Sellers to review the accuracy of the Statement and the preparation thereof.  All information obtained by Sellers pursuant to this paragraph shall be held in confidence in accordance with Section 5.9.</w:t>
      </w:r>
    </w:p>
    <w:p>
      <w:pPr>
        <w:pStyle w:val="Heading2"/>
        <w:numPr>
          <w:ilvl w:val="1"/>
          <w:numId w:val="12"/>
        </w:numPr>
        <w:ind w:hanging="0" w:start="0"/>
        <w:rPr/>
      </w:pPr>
      <w:r>
        <w:rPr>
          <w:u w:val="single"/>
        </w:rPr>
        <w:t>Time and Place of Closing</w:t>
      </w:r>
      <w:r>
        <w:fldChar w:fldCharType="begin"/>
      </w:r>
      <w:r>
        <w:rPr/>
        <w:instrText xml:space="preserve"> TC "Section 2.8</w:instrText>
        <w:tab/>
        <w:instrText xml:space="preserve">Time and Place of Closing</w:instrText>
        <w:tab/>
        <w:instrText xml:space="preserve">“ \f C \l “2" \l 1 </w:instrText>
      </w:r>
      <w:r>
        <w:rPr/>
        <w:fldChar w:fldCharType="separate"/>
      </w:r>
      <w:r>
        <w:rPr/>
      </w:r>
      <w:r>
        <w:rPr/>
        <w:fldChar w:fldCharType="end"/>
      </w:r>
      <w:bookmarkStart w:id="22" w:name="__RefHeading___Toc535051542"/>
      <w:bookmarkEnd w:id="22"/>
      <w:r>
        <w:rPr/>
        <w:t>.  The closing of the Asset Purchase (the “</w:t>
      </w:r>
      <w:r>
        <w:rPr>
          <w:u w:val="single"/>
        </w:rPr>
        <w:t>Closing</w:t>
      </w:r>
      <w:r>
        <w:rPr/>
        <w:t>”) shall take place at the offices of Wachtell, Lipton, Rosen &amp; Katz, 51 West 52</w:t>
      </w:r>
      <w:r>
        <w:rPr>
          <w:vertAlign w:val="superscript"/>
        </w:rPr>
        <w:t>nd</w:t>
      </w:r>
      <w:r>
        <w:rPr/>
        <w:t xml:space="preserve"> Street, New York, New York, at 10:00 A.M., New York City time, on the first</w:t>
      </w:r>
      <w:r>
        <w:rPr>
          <w:b/>
        </w:rPr>
        <w:t xml:space="preserve"> </w:t>
      </w:r>
      <w:r>
        <w:rPr/>
        <w:t>Business Day after the conditions to Closing set forth in Articles 8 and 9 (other than those to be satisfied at the Closing, which shall be satisfied or waived at the Closing) have been satisfied (or waived by the party entitled to waive such condition), or such other place, date and time as the parties may agree.</w:t>
      </w:r>
    </w:p>
    <w:p>
      <w:pPr>
        <w:pStyle w:val="Heading2"/>
        <w:numPr>
          <w:ilvl w:val="1"/>
          <w:numId w:val="12"/>
        </w:numPr>
        <w:ind w:hanging="0" w:start="0"/>
        <w:rPr/>
      </w:pPr>
      <w:r>
        <w:rPr>
          <w:u w:val="single"/>
        </w:rPr>
        <w:t>Designation of Affiliates by Buyer</w:t>
      </w:r>
      <w:r>
        <w:fldChar w:fldCharType="begin"/>
      </w:r>
      <w:r>
        <w:rPr/>
        <w:instrText xml:space="preserve"> TC "Section 2.9</w:instrText>
        <w:tab/>
        <w:instrText xml:space="preserve">Designation of Affiliates by Buyer</w:instrText>
        <w:tab/>
        <w:instrText xml:space="preserve">“ \f C \l “2" \l 1 </w:instrText>
      </w:r>
      <w:r>
        <w:rPr/>
        <w:fldChar w:fldCharType="separate"/>
      </w:r>
      <w:r>
        <w:rPr/>
      </w:r>
      <w:r>
        <w:rPr/>
        <w:fldChar w:fldCharType="end"/>
      </w:r>
      <w:bookmarkStart w:id="23" w:name="__RefHeading___Toc535051543"/>
      <w:bookmarkEnd w:id="23"/>
      <w:r>
        <w:rPr/>
        <w:t xml:space="preserve">.  Prior to the Closing, upon at least one day’s written notice to Sellers, Buyer may designate one or more Affiliates to acquire at the Closing all or part of the Assets, in which event all references herein to “Buyer” shall be deemed to refer to such Affiliate(s), as appropriate; </w:t>
      </w:r>
      <w:r>
        <w:rPr>
          <w:u w:val="single"/>
        </w:rPr>
        <w:t>provided</w:t>
      </w:r>
      <w:r>
        <w:rPr/>
        <w:t>,</w:t>
      </w:r>
      <w:r>
        <w:rPr>
          <w:u w:val="single"/>
        </w:rPr>
        <w:t xml:space="preserve"> however</w:t>
      </w:r>
      <w:r>
        <w:rPr/>
        <w:t>, that no such designation shall in any event limit or affect the obligations of Buyer and Parent under this Agreement to the extent not performed by such Affiliates.</w:t>
      </w:r>
    </w:p>
    <w:p>
      <w:pPr>
        <w:pStyle w:val="Heading1"/>
        <w:numPr>
          <w:ilvl w:val="0"/>
          <w:numId w:val="12"/>
        </w:numPr>
        <w:ind w:hanging="0" w:start="0"/>
        <w:rPr/>
      </w:pPr>
      <w:r>
        <w:rPr/>
        <w:br/>
        <w:br/>
        <w:t>Representations and Warranties of Sellers</w:t>
      </w:r>
      <w:r>
        <w:fldChar w:fldCharType="begin"/>
      </w:r>
      <w:r>
        <w:rPr/>
        <w:instrText xml:space="preserve"> TC "ARTICLE 3_x000b__x000b_Representations and Warranties of Sellers" \l 1 </w:instrText>
      </w:r>
      <w:r>
        <w:rPr/>
        <w:fldChar w:fldCharType="separate"/>
      </w:r>
      <w:r>
        <w:rPr/>
      </w:r>
      <w:r>
        <w:rPr/>
        <w:fldChar w:fldCharType="end"/>
      </w:r>
    </w:p>
    <w:p>
      <w:pPr>
        <w:pStyle w:val="BodyText"/>
        <w:keepNext w:val="true"/>
        <w:rPr/>
      </w:pPr>
      <w:r>
        <w:rPr/>
        <w:t>Sellers, jointly and severally, hereby represent and warrant to Buyer as follows:</w:t>
      </w:r>
    </w:p>
    <w:p>
      <w:pPr>
        <w:pStyle w:val="Heading2"/>
        <w:numPr>
          <w:ilvl w:val="1"/>
          <w:numId w:val="12"/>
        </w:numPr>
        <w:ind w:hanging="0" w:start="0"/>
        <w:rPr/>
      </w:pPr>
      <w:r>
        <w:rPr>
          <w:u w:val="single"/>
        </w:rPr>
        <w:t>Incorporation</w:t>
      </w:r>
      <w:r>
        <w:fldChar w:fldCharType="begin"/>
      </w:r>
      <w:r>
        <w:rPr/>
        <w:instrText xml:space="preserve"> TC "Section 3.1</w:instrText>
        <w:tab/>
        <w:instrText xml:space="preserve">Incorporation</w:instrText>
        <w:tab/>
        <w:instrText xml:space="preserve">“ \f C \l “2" \l 1 </w:instrText>
      </w:r>
      <w:r>
        <w:rPr/>
        <w:fldChar w:fldCharType="separate"/>
      </w:r>
      <w:r>
        <w:rPr/>
      </w:r>
      <w:r>
        <w:rPr/>
        <w:fldChar w:fldCharType="end"/>
      </w:r>
      <w:bookmarkStart w:id="24" w:name="__RefHeading___Toc535051544"/>
      <w:bookmarkEnd w:id="24"/>
      <w:r>
        <w:rPr/>
        <w:t xml:space="preserve">.  Each Seller is a corporate entity duly organized, validly existing and in good standing under the laws of the jurisdiction in which it is incorporated and, subject to the limitations imposed on the Filing Sellers prior to the date hereof as a result of having filed petitions for relief under the Bankruptcy Code, has the requisite corporate power and authority to carry on its business as conducted during the third quarter of 2001.  Each Seller is duly qualified or licensed to do business and is in good standing in each jurisdiction in which the nature of its business or the ownership or leasing of its properties makes such qualification or licensing necessary.  </w:t>
      </w:r>
    </w:p>
    <w:p>
      <w:pPr>
        <w:pStyle w:val="Heading2"/>
        <w:numPr>
          <w:ilvl w:val="1"/>
          <w:numId w:val="12"/>
        </w:numPr>
        <w:ind w:hanging="0" w:start="0"/>
        <w:rPr/>
      </w:pPr>
      <w:r>
        <w:rPr>
          <w:u w:val="single"/>
        </w:rPr>
        <w:t>Authorization</w:t>
      </w:r>
      <w:r>
        <w:fldChar w:fldCharType="begin"/>
      </w:r>
      <w:r>
        <w:rPr/>
        <w:instrText xml:space="preserve"> TC "Section 3.2</w:instrText>
        <w:tab/>
        <w:instrText xml:space="preserve">Authorization</w:instrText>
        <w:tab/>
        <w:instrText xml:space="preserve">“ \f C \l “2" \l 1 </w:instrText>
      </w:r>
      <w:r>
        <w:rPr/>
        <w:fldChar w:fldCharType="separate"/>
      </w:r>
      <w:r>
        <w:rPr/>
      </w:r>
      <w:r>
        <w:rPr/>
        <w:fldChar w:fldCharType="end"/>
      </w:r>
      <w:bookmarkStart w:id="25" w:name="__RefHeading___Toc535051545"/>
      <w:bookmarkEnd w:id="25"/>
      <w:r>
        <w:rPr/>
        <w:t xml:space="preserve">.  Each Seller has the requisite corporate or other power and authority to enter into this Agreement and to consummate the transactions contemplated by this Agreement.  The execution and delivery of this Agreement by each Seller and the consummation by each Seller of the transactions contemplated by this Agreement have been duly authorized by all necessary corporate or other action on the part of each Seller.  This Agreement has been duly executed and delivered by each Seller and, assuming due execution and delivery by the Buyer, constitutes a valid and binding obligation of each Seller, enforceable against each Seller in accordance with its terms.  The execution and delivery of this Agreement does not, and the consummation of the transactions contemplated by this Agreement  and compliance with the provisions of this Agreement will not, conflict with, or result in any violation of, or default (with or without notice or lapse of time, or both) under, or give rise to a right of termination, cancellation, modification or acceleration of any obligation or to a loss of a benefit under, or result in the creation of any Encumbrance upon any of the properties or assets of any Seller or any of their Subsidiaries under, (a) the certificate of incorporation or bylaws of any Seller or the comparable charter or organizational documents of any of their Subsidiaries, (b) any loan or credit agreement, note, bond, mortgage, indenture, lien, lease or any other contract, agreement, instrument, permit, commitment, concession, franchise or license applicable to any Seller or any of their Subsidiaries or their respective properties or assets or (c) subject to the governmental filings and other matters referred to in the following sentence, any judgment, order, decree, statute, law, ordinance, rule or regulation applicable to any Seller or any of their Subsidiaries or their respective properties or assets.  No Consent or application by or to any Governmental Authority or other Person is required by or with respect to Sellers or any of their Affiliates in connection with the execution and delivery of this Agreement by the Sellers or the consummation by the Sellers of the transactions contemplated by this Agreement, except for the required Consents listed on </w:t>
      </w:r>
      <w:r>
        <w:rPr>
          <w:u w:val="single"/>
        </w:rPr>
        <w:t>Schedule 3.2</w:t>
      </w:r>
      <w:r>
        <w:rPr/>
        <w:t>.  Neither the entering into of this Agreement nor the consummation of any of the transactions contemplated hereby or performance of any obligations provided for herein requires the affirmative vote or Consent of or by holders of any class or series of capital stock (or securities convertible into or exchangeable for capital stock) or voting debt of any Seller.</w:t>
      </w:r>
    </w:p>
    <w:p>
      <w:pPr>
        <w:pStyle w:val="Heading2"/>
        <w:numPr>
          <w:ilvl w:val="1"/>
          <w:numId w:val="12"/>
        </w:numPr>
        <w:ind w:hanging="0" w:start="0"/>
        <w:rPr/>
      </w:pPr>
      <w:r>
        <w:rPr>
          <w:u w:val="single"/>
        </w:rPr>
        <w:t>Assets</w:t>
      </w:r>
      <w:r>
        <w:fldChar w:fldCharType="begin"/>
      </w:r>
      <w:r>
        <w:rPr/>
        <w:instrText xml:space="preserve"> TC "Section 3.3</w:instrText>
        <w:tab/>
        <w:instrText xml:space="preserve">Assets</w:instrText>
        <w:tab/>
        <w:instrText xml:space="preserve">“ \f C \l “2" \l 1 </w:instrText>
      </w:r>
      <w:r>
        <w:rPr/>
        <w:fldChar w:fldCharType="separate"/>
      </w:r>
      <w:r>
        <w:rPr/>
      </w:r>
      <w:r>
        <w:rPr/>
        <w:fldChar w:fldCharType="end"/>
      </w:r>
      <w:bookmarkStart w:id="26" w:name="__RefHeading___Toc535051546"/>
      <w:bookmarkEnd w:id="26"/>
      <w:r>
        <w:rPr/>
        <w:t xml:space="preserve">.  Except as set forth on </w:t>
      </w:r>
      <w:r>
        <w:rPr>
          <w:u w:val="single"/>
        </w:rPr>
        <w:t>Schedule 3.3</w:t>
      </w:r>
      <w:r>
        <w:rPr/>
        <w:t xml:space="preserve"> and upon the assumption of certain executory contracts by the Filing Sellers pursuant to the Bankruptcy Court Approval, Sellers have good and valid title to all the Assets, or, in cases where the Sellers have such property interest, asset or right through the grant of a license under the Intellectual Property rights of a third party or through the grant of a lease by a third party, are licensees or lessees of the Assets, and Sellers have the legal right to, and will, transfer (or, in the case of the Licensed Intellectual Property, license the Licensed Intellectual Property to Buyer and its Affiliates) all of the Assets free and clear of all Encumbrances and Liabilities except for such imperfections or irregularities of title as do not affect the use of the properties or assets subject thereto or affected thereby or otherwise impair business operations at such properties, or as are not inconsistent with the provisions of the License Agreements.  The Assets, taken as a whole, constitute all the properties, assets and rights necessary for Buyer to conduct and operate the Business as conducted during the third quarter of 2001 (except for the Excluded Assets).  To the knowledge of the Sellers, there are no facts or conditions affecting Sellers or the Assets which could interfere with Buyer’s use, occupancy or operation of the Assets, taken as a whole, as used, occupied or operated during the third quarter of 2001, or their adequacy for such use.  </w:t>
      </w:r>
    </w:p>
    <w:p>
      <w:pPr>
        <w:pStyle w:val="Heading2"/>
        <w:numPr>
          <w:ilvl w:val="1"/>
          <w:numId w:val="12"/>
        </w:numPr>
        <w:ind w:hanging="0" w:start="0"/>
        <w:rPr/>
      </w:pPr>
      <w:r>
        <w:rPr>
          <w:u w:val="single"/>
        </w:rPr>
        <w:t>Absence of Certain Changes</w:t>
      </w:r>
      <w:r>
        <w:fldChar w:fldCharType="begin"/>
      </w:r>
      <w:r>
        <w:rPr/>
        <w:instrText xml:space="preserve"> TC "Section 3.4</w:instrText>
        <w:tab/>
        <w:instrText xml:space="preserve">Absence of Certain Changes</w:instrText>
        <w:tab/>
        <w:instrText xml:space="preserve">“ \f C \l “2" \l 1 </w:instrText>
      </w:r>
      <w:r>
        <w:rPr/>
        <w:fldChar w:fldCharType="separate"/>
      </w:r>
      <w:r>
        <w:rPr/>
      </w:r>
      <w:r>
        <w:rPr/>
        <w:fldChar w:fldCharType="end"/>
      </w:r>
      <w:bookmarkStart w:id="27" w:name="__RefHeading___Toc535051547"/>
      <w:bookmarkEnd w:id="27"/>
      <w:r>
        <w:rPr/>
        <w:t xml:space="preserve">.  Except as set forth in </w:t>
      </w:r>
      <w:r>
        <w:rPr>
          <w:u w:val="single"/>
        </w:rPr>
        <w:t>Schedule 3.4</w:t>
      </w:r>
      <w:r>
        <w:rPr/>
        <w:t>, since September 30, 2001 or such other date as may be specified below, Sellers and their Affiliates have not:</w:t>
      </w:r>
    </w:p>
    <w:p>
      <w:pPr>
        <w:pStyle w:val="Heading3"/>
        <w:numPr>
          <w:ilvl w:val="2"/>
          <w:numId w:val="12"/>
        </w:numPr>
        <w:ind w:hanging="0" w:start="0"/>
        <w:rPr/>
      </w:pPr>
      <w:r>
        <w:rPr/>
        <w:t>sold, transferred, leased to others or otherwise disposed of any of the Assets, except for such sales that involve immaterial Assets and, in the aggregate, consideration of less than $500,000;</w:t>
      </w:r>
    </w:p>
    <w:p>
      <w:pPr>
        <w:pStyle w:val="Heading3"/>
        <w:numPr>
          <w:ilvl w:val="2"/>
          <w:numId w:val="12"/>
        </w:numPr>
        <w:ind w:hanging="0" w:start="0"/>
        <w:rPr/>
      </w:pPr>
      <w:r>
        <w:rPr/>
        <w:t xml:space="preserve">canceled or compromised any debts or claims, or waived or released any rights individually or in the aggregate having substantial value, other than as would not reduce the value of any Asset or result in any Liability that would be or would increase any Assumed Liability as of or subsequent to the Closing; </w:t>
      </w:r>
    </w:p>
    <w:p>
      <w:pPr>
        <w:pStyle w:val="Heading3"/>
        <w:numPr>
          <w:ilvl w:val="2"/>
          <w:numId w:val="12"/>
        </w:numPr>
        <w:ind w:hanging="0" w:start="0"/>
        <w:rPr/>
      </w:pPr>
      <w:r>
        <w:rPr/>
        <w:t>received any notice of termination (written or, to the knowledge of Sellers, oral) of any License, contract, lease or other agreement relating to the Business, other than as relate solely to Excluded Assets;</w:t>
      </w:r>
    </w:p>
    <w:p>
      <w:pPr>
        <w:pStyle w:val="Heading3"/>
        <w:numPr>
          <w:ilvl w:val="2"/>
          <w:numId w:val="12"/>
        </w:numPr>
        <w:ind w:hanging="0" w:start="0"/>
        <w:rPr/>
      </w:pPr>
      <w:r>
        <w:rPr/>
        <w:t>received any communication or information alleging misconduct of, or any investigation or Claim relating to alleged misconduct by, the Business or its employees;</w:t>
      </w:r>
    </w:p>
    <w:p>
      <w:pPr>
        <w:pStyle w:val="Heading3"/>
        <w:numPr>
          <w:ilvl w:val="2"/>
          <w:numId w:val="12"/>
        </w:numPr>
        <w:ind w:hanging="0" w:start="0"/>
        <w:rPr/>
      </w:pPr>
      <w:r>
        <w:rPr/>
        <w:t>abandoned, transferred or granted any rights under, entered into any settlement regarding the breach, misappropriation, dilution or infringement of, or received notice of any infringement of, any Business Intellectual Property, or modified any existing rights with respect thereto, or disclosed or allowed to be disclosed any confidential Business Intellectual Property;</w:t>
      </w:r>
    </w:p>
    <w:p>
      <w:pPr>
        <w:pStyle w:val="Heading3"/>
        <w:numPr>
          <w:ilvl w:val="2"/>
          <w:numId w:val="12"/>
        </w:numPr>
        <w:ind w:hanging="0" w:start="0"/>
        <w:rPr/>
      </w:pPr>
      <w:r>
        <w:rPr/>
        <w:t>instituted, settled or agreed to settle any litigation, Action or proceeding before any court or governmental body relating to the Business or the Assets, other than in the ordinary course of business consistent with past practices but not in any case involving amounts in excess of $250,000 or $750,000 in the aggregate other than as would not reduce the value of any Asset or result in any Liability that would be or would increase any Assumed Liability as of or subsequent to the Closing;</w:t>
      </w:r>
    </w:p>
    <w:p>
      <w:pPr>
        <w:pStyle w:val="Heading3"/>
        <w:numPr>
          <w:ilvl w:val="2"/>
          <w:numId w:val="12"/>
        </w:numPr>
        <w:ind w:hanging="0" w:start="0"/>
        <w:rPr/>
      </w:pPr>
      <w:r>
        <w:rPr/>
        <w:t>incurred or triggered any severance pay obligations by reason of this Agreement or the transactions contemplated hereby other than as would not reduce the value of any Asset or result in any Liability that would be or would increase any Assumed Liability as of or subsequent to the Closing;</w:t>
      </w:r>
    </w:p>
    <w:p>
      <w:pPr>
        <w:pStyle w:val="Heading3"/>
        <w:numPr>
          <w:ilvl w:val="2"/>
          <w:numId w:val="12"/>
        </w:numPr>
        <w:ind w:hanging="0" w:start="0"/>
        <w:rPr/>
      </w:pPr>
      <w:r>
        <w:rPr/>
        <w:t>taken any action or omitted to take any action that would result in the occurrence of any of the foregoing; or</w:t>
      </w:r>
    </w:p>
    <w:p>
      <w:pPr>
        <w:pStyle w:val="Heading3"/>
        <w:numPr>
          <w:ilvl w:val="2"/>
          <w:numId w:val="12"/>
        </w:numPr>
        <w:ind w:hanging="0" w:start="0"/>
        <w:rPr/>
      </w:pPr>
      <w:r>
        <w:rPr/>
        <w:t>entered into any agreement to do any of the foregoing.</w:t>
      </w:r>
    </w:p>
    <w:p>
      <w:pPr>
        <w:pStyle w:val="Heading2"/>
        <w:numPr>
          <w:ilvl w:val="1"/>
          <w:numId w:val="12"/>
        </w:numPr>
        <w:ind w:hanging="0" w:start="0"/>
        <w:rPr/>
      </w:pPr>
      <w:r>
        <w:rPr>
          <w:u w:val="single"/>
        </w:rPr>
        <w:t>Litigation; Orders</w:t>
      </w:r>
      <w:r>
        <w:fldChar w:fldCharType="begin"/>
      </w:r>
      <w:r>
        <w:rPr/>
        <w:instrText xml:space="preserve"> TC "Section 3.5</w:instrText>
        <w:tab/>
        <w:instrText xml:space="preserve">Litigation; Orders</w:instrText>
        <w:tab/>
        <w:instrText xml:space="preserve">“ \f C \l “2" \l 1 </w:instrText>
      </w:r>
      <w:r>
        <w:rPr/>
        <w:fldChar w:fldCharType="separate"/>
      </w:r>
      <w:r>
        <w:rPr/>
      </w:r>
      <w:r>
        <w:rPr/>
        <w:fldChar w:fldCharType="end"/>
      </w:r>
      <w:bookmarkStart w:id="28" w:name="__RefHeading___Toc535051548"/>
      <w:bookmarkEnd w:id="28"/>
      <w:r>
        <w:rPr/>
        <w:t xml:space="preserve">.  Except as disclosed in </w:t>
      </w:r>
      <w:r>
        <w:rPr>
          <w:u w:val="single"/>
        </w:rPr>
        <w:t>Schedule 3.5</w:t>
      </w:r>
      <w:r>
        <w:rPr/>
        <w:t xml:space="preserve">, there are no Actions pending or, to Sellers’ knowledge, threatened against Seller or any of its Affiliates in connection with the Assets or the Business or which could give rise to or would increase an Assumed Liability, or against or relating to the transactions contemplated by this Agreement.  Except as disclosed in </w:t>
      </w:r>
      <w:r>
        <w:rPr>
          <w:u w:val="single"/>
        </w:rPr>
        <w:t>Schedule 3.5</w:t>
      </w:r>
      <w:r>
        <w:rPr/>
        <w:t xml:space="preserve">, there are no judgments or outstanding orders, injunctions, decrees, stipulations or awards (whether rendered by a court or administrative agency, or by arbitration) against any Seller or any of its Affiliates or any of their respective properties or businesses relating to the Assets or the Business.  </w:t>
      </w:r>
    </w:p>
    <w:p>
      <w:pPr>
        <w:pStyle w:val="Heading2"/>
        <w:numPr>
          <w:ilvl w:val="1"/>
          <w:numId w:val="12"/>
        </w:numPr>
        <w:ind w:hanging="0" w:start="0"/>
        <w:rPr/>
      </w:pPr>
      <w:r>
        <w:rPr>
          <w:u w:val="single"/>
        </w:rPr>
        <w:t>Business Intellectual Property</w:t>
      </w:r>
      <w:r>
        <w:fldChar w:fldCharType="begin"/>
      </w:r>
      <w:r>
        <w:rPr/>
        <w:instrText xml:space="preserve"> TC "Section 3.6</w:instrText>
        <w:tab/>
        <w:instrText xml:space="preserve">Business Intellectual Property</w:instrText>
        <w:tab/>
        <w:instrText xml:space="preserve">“ \f C \l “2" \l 1 </w:instrText>
      </w:r>
      <w:r>
        <w:rPr/>
        <w:fldChar w:fldCharType="separate"/>
      </w:r>
      <w:r>
        <w:rPr/>
      </w:r>
      <w:r>
        <w:rPr/>
        <w:fldChar w:fldCharType="end"/>
      </w:r>
      <w:bookmarkStart w:id="29" w:name="__RefHeading___Toc535051549"/>
      <w:bookmarkEnd w:id="29"/>
      <w:r>
        <w:rPr/>
        <w:t>.  (</w:t>
      </w:r>
      <w:r>
        <w:rPr>
          <w:lang w:val="en-CA"/>
        </w:rPr>
        <w:t>a</w:t>
      </w:r>
      <w:r>
        <w:rPr/>
        <w:t xml:space="preserve">)  </w:t>
      </w:r>
      <w:r>
        <w:rPr>
          <w:u w:val="single"/>
        </w:rPr>
        <w:t>Business Intellectual Property</w:t>
      </w:r>
      <w:r>
        <w:rPr/>
        <w:t xml:space="preserve">.  Except as disclosed in </w:t>
      </w:r>
      <w:r>
        <w:rPr>
          <w:u w:val="single"/>
        </w:rPr>
        <w:t>Schedule 3.6(a)</w:t>
      </w:r>
      <w:r>
        <w:rPr/>
        <w:t>, no notices have been given nor claims have been asserted by any person (</w:t>
      </w:r>
      <w:r>
        <w:rPr>
          <w:lang w:val="en-CA"/>
        </w:rPr>
        <w:t>i</w:t>
      </w:r>
      <w:r>
        <w:rPr/>
        <w:t>) to the effect that the operation of the Business or the use, sale or license of any Business Intellectual Property as now sold, licensed or used, or as contemplated to be licensed by the License Agreements, by any Seller or any Affiliate in connection with the Business infringes, misappropriates or dilutes any Intellectual Property or other right or (</w:t>
      </w:r>
      <w:r>
        <w:rPr>
          <w:lang w:val="en-CA"/>
        </w:rPr>
        <w:t>ii</w:t>
      </w:r>
      <w:r>
        <w:rPr/>
        <w:t xml:space="preserve">) challenging the ownership, validity, enforceability, transferability (including by way of license) or effectiveness of any of the Business Intellectual Property, and to Sellers’ knowledge there is no valid basis for any such claim or challenge.  Sellers own or have the right to use pursuant to license, sublicense, agreement or permission all Business Intellectual Property, free from any Encumbrances and free from any requirement of any past, present or future royalty payments, license fees, charges or other payments, or conditions or restrictions whatsoever, and Sellers have the right to grant to Buyer and its Affiliates the rights granted under the License Agreements.  With respect to any Business Intellectual Property which is used or held with the consent of a third party owner, such consents are in full force and effect  and no default exists on the part of the Sellers or, to the knowledge of Sellers, on the part of any other parties thereto.  The Business Intellectual Property comprises all of the Intellectual Property used or held for use in the Business, enabling Buyer to conduct and operate the Business as conducted by Sellers during the third quarter of 2001.  The Business Intellectual Property does not include any Intellectual Property or technology in respect of which any of the Sellers’ or any Affiliates of any Sellers’ officers, employees or consultants have any rights.  All current and former officers, employees and consultants have assigned in writing to Sellers all of their rights in the Business Intellectual Property and have waived in writing any moral rights. </w:t>
      </w:r>
    </w:p>
    <w:p>
      <w:pPr>
        <w:pStyle w:val="Heading3"/>
        <w:numPr>
          <w:ilvl w:val="2"/>
          <w:numId w:val="12"/>
        </w:numPr>
        <w:ind w:hanging="0" w:start="0"/>
        <w:rPr/>
      </w:pPr>
      <w:r>
        <w:rPr>
          <w:u w:val="single"/>
        </w:rPr>
        <w:t>Transfer</w:t>
      </w:r>
      <w:r>
        <w:rPr/>
        <w:t xml:space="preserve">.  Except as set forth on </w:t>
      </w:r>
      <w:r>
        <w:rPr>
          <w:u w:val="single"/>
        </w:rPr>
        <w:t>Schedule 3.6(b)</w:t>
      </w:r>
      <w:r>
        <w:rPr/>
        <w:t>, Sellers have all requisite power to grant exclusive and non-exclusive licenses pursuant to the terms of the License Agreements with respect to and to transfer ownership of or rights to use (as the case may be) the Business Intellectual Property to Buyer and its Affiliates, free from any Encumbrances and on terms and conditions no less favorable than as in effect as of the date hereof.</w:t>
      </w:r>
    </w:p>
    <w:p>
      <w:pPr>
        <w:pStyle w:val="Heading3"/>
        <w:numPr>
          <w:ilvl w:val="2"/>
          <w:numId w:val="12"/>
        </w:numPr>
        <w:ind w:hanging="0" w:start="0"/>
        <w:rPr/>
      </w:pPr>
      <w:r>
        <w:rPr>
          <w:u w:val="single"/>
        </w:rPr>
        <w:t>No Infringement</w:t>
      </w:r>
      <w:r>
        <w:rPr/>
        <w:t xml:space="preserve">.  Except as disclosed in </w:t>
      </w:r>
      <w:r>
        <w:rPr>
          <w:u w:val="single"/>
        </w:rPr>
        <w:t>Schedule 3.6(a)</w:t>
      </w:r>
      <w:r>
        <w:rPr/>
        <w:t>, the use of the Business Intellectual Property in the conduct of the Business does not infringe or otherwise conflict with any rights of any person.  To the knowledge of Sellers, none of the Business Intellectual Property is being infringed or, to the knowledge of Sellers (except as to Business Intellectual Property licensed by any of the Sellers), otherwise used or available for use, by any other Person.  The Business Intellectual Property is subsisting, valid and enforceable and has not been adjudged invalid or unenforceable, either in whole or in part.</w:t>
      </w:r>
    </w:p>
    <w:p>
      <w:pPr>
        <w:pStyle w:val="Heading3"/>
        <w:numPr>
          <w:ilvl w:val="2"/>
          <w:numId w:val="12"/>
        </w:numPr>
        <w:ind w:hanging="0" w:start="0"/>
        <w:rPr/>
      </w:pPr>
      <w:r>
        <w:rPr>
          <w:u w:val="single"/>
        </w:rPr>
        <w:t>Due Registration, Etc</w:t>
      </w:r>
      <w:r>
        <w:rPr>
          <w:i/>
          <w:u w:val="single"/>
        </w:rPr>
        <w:t>.</w:t>
      </w:r>
      <w:r>
        <w:rPr/>
        <w:t xml:space="preserve">  </w:t>
      </w:r>
      <w:r>
        <w:rPr>
          <w:u w:val="single"/>
        </w:rPr>
        <w:t>Schedule 3.6(d)</w:t>
      </w:r>
      <w:r>
        <w:rPr/>
        <w:t xml:space="preserve"> sets forth all of the registrations and pending applications related to the Business Intellectual Property anywhere in the world, as well as the response dates for any pending office actions or filings.</w:t>
      </w:r>
    </w:p>
    <w:p>
      <w:pPr>
        <w:pStyle w:val="Heading3"/>
        <w:numPr>
          <w:ilvl w:val="2"/>
          <w:numId w:val="12"/>
        </w:numPr>
        <w:ind w:hanging="0" w:start="0"/>
        <w:rPr/>
      </w:pPr>
      <w:r>
        <w:rPr>
          <w:u w:val="single"/>
        </w:rPr>
        <w:t>No Licenses</w:t>
      </w:r>
      <w:r>
        <w:rPr/>
        <w:t>.  Except for the rights to be provided to Buyer and its Affiliates under the License Agreements, no Person will have any rights from and after the Closing to use, license, sublicense or otherwise exploit in any manner the Intellectual Property exclusively licensed to Buyer or its Affiliates under the License Agreements (“</w:t>
      </w:r>
      <w:r>
        <w:rPr>
          <w:u w:val="single"/>
        </w:rPr>
        <w:t>Third Party License</w:t>
      </w:r>
      <w:r>
        <w:rPr/>
        <w:t>”).</w:t>
      </w:r>
    </w:p>
    <w:p>
      <w:pPr>
        <w:pStyle w:val="Heading3"/>
        <w:numPr>
          <w:ilvl w:val="2"/>
          <w:numId w:val="12"/>
        </w:numPr>
        <w:ind w:hanging="0" w:start="0"/>
        <w:rPr/>
      </w:pPr>
      <w:r>
        <w:rPr>
          <w:u w:val="single"/>
        </w:rPr>
        <w:t>No Harmful Codes</w:t>
      </w:r>
      <w:r>
        <w:rPr/>
        <w:t>.  All material computer software included in the Business Intellectual Property (i) is free of viruses, worms, trojan horses and other material known contaminants and does not contain any bugs, errors, or problems of a material nature that would disrupt its operation or have an adverse impact on the operation of other software programs or operating systems, (ii) does not incorporate any GNU or “open” source code or object code under which such software is subject to the GNU general public license, GNU lesser general public license and other “copyleft” license.  The Sellers have obtained all approvals necessary for exporting such software outside the United States and importing such software into any country in which such software is now sold or licensed for use, and all such export and import approvals in the United States and throughout the world are valid, current, outstanding and in full force and effect.</w:t>
      </w:r>
    </w:p>
    <w:p>
      <w:pPr>
        <w:pStyle w:val="BodyText"/>
        <w:rPr/>
      </w:pPr>
      <w:r>
        <w:rPr/>
        <w:t>(f)</w:t>
        <w:tab/>
      </w:r>
      <w:r>
        <w:rPr>
          <w:u w:val="single"/>
        </w:rPr>
        <w:t>Confidentiality</w:t>
      </w:r>
      <w:r>
        <w:rPr/>
        <w:t>.  The Sellers have taken reasonable steps in accordance with normal industry practice to maintain the confidentiality of the trade secrets and other confidential Business Intellectual Property.  To the knowledge of Sellers, (i) there has been no misappropriation of any material trade secrets or other confidential Business Intellectual Property by any Person; (ii) no employee, independent contractor or agent of Sellers has misappropriated any trade secrets of any other person in the course of performance as an employee, independent contractor or agent of the Business; and (iii) no employee, independent contractor or agent of Sellers is in default or breach of any term of any employment agreement, nondisclosure agreement, assignment of invention agreement or similar agreement or contract relating in any way to the protection, ownership, development, use or transfer of any Business Intellectual Property.</w:t>
      </w:r>
    </w:p>
    <w:p>
      <w:pPr>
        <w:pStyle w:val="BodyText"/>
        <w:rPr/>
      </w:pPr>
      <w:r>
        <w:rPr/>
        <w:t>(g)</w:t>
        <w:tab/>
      </w:r>
      <w:r>
        <w:rPr>
          <w:u w:val="single"/>
        </w:rPr>
        <w:t>Operation of Web Sites</w:t>
      </w:r>
      <w:r>
        <w:rPr/>
        <w:t>.  The Sellers’ operation of any web sites used in connection with the Business, and content thereof and data processed, collected, stored or disseminated in connection therewith, do not violate any applicable law, to the knowledge of the Sellers, the applicable laws of any other jurisdiction, including, without limitation, European Directive 95/46/BC, and any Person’s right of privacy or publicity.  The Sellers (i) have obtained all necessary permits, approvals, consents, authorizations or licenses to lawfully operate their web sites in connection with the Business, and to use related data in connection therewith, and (ii) are operating such web sites and using such data in accordance with the scope of such permits, approvals, consents, authorizations or licenses.  The Sellers have taken all steps in accordance with normal industry practice to secure such web sites and data, and any portion thereof, from unauthorized access or use thereof by any Person.</w:t>
      </w:r>
    </w:p>
    <w:p>
      <w:pPr>
        <w:pStyle w:val="Heading2"/>
        <w:numPr>
          <w:ilvl w:val="1"/>
          <w:numId w:val="12"/>
        </w:numPr>
        <w:ind w:hanging="0" w:start="0"/>
        <w:rPr/>
      </w:pPr>
      <w:r>
        <w:rPr>
          <w:u w:val="single"/>
        </w:rPr>
        <w:t>Permits, Approvals, Other Authorizations, Consents, Reports, Etc.</w:t>
      </w:r>
      <w:r>
        <w:fldChar w:fldCharType="begin"/>
      </w:r>
      <w:r>
        <w:rPr/>
        <w:instrText xml:space="preserve"> TC "Section 3.7</w:instrText>
        <w:tab/>
        <w:instrText xml:space="preserve">Permits, Approvals, Other Authorizations, Consents, Reports, Etc.</w:instrText>
        <w:tab/>
        <w:instrText xml:space="preserve">“ \f C \l “2" \l 1 </w:instrText>
      </w:r>
      <w:r>
        <w:rPr/>
        <w:fldChar w:fldCharType="separate"/>
      </w:r>
      <w:r>
        <w:rPr/>
      </w:r>
      <w:r>
        <w:rPr/>
        <w:fldChar w:fldCharType="end"/>
      </w:r>
      <w:bookmarkStart w:id="30" w:name="__RefHeading___Toc535051550"/>
      <w:bookmarkEnd w:id="30"/>
      <w:r>
        <w:rPr/>
        <w:t xml:space="preserve">  (</w:t>
      </w:r>
      <w:r>
        <w:rPr>
          <w:lang w:val="en-CA"/>
        </w:rPr>
        <w:t>a</w:t>
      </w:r>
      <w:r>
        <w:rPr/>
        <w:t xml:space="preserve">)  Except as otherwise indicated in </w:t>
      </w:r>
      <w:r>
        <w:rPr>
          <w:u w:val="single"/>
        </w:rPr>
        <w:t>Schedule 3.7(a)</w:t>
      </w:r>
      <w:r>
        <w:rPr/>
        <w:t xml:space="preserve">, Sellers or their Affiliates are the holders of the licenses or permits issued by any Governmental Authority and relating to the Business or the Assets listed on </w:t>
      </w:r>
      <w:r>
        <w:rPr>
          <w:u w:val="single"/>
        </w:rPr>
        <w:t>Schedule 3.7(a)</w:t>
      </w:r>
      <w:r>
        <w:rPr/>
        <w:t xml:space="preserve"> (collectively, the “</w:t>
      </w:r>
      <w:r>
        <w:rPr>
          <w:u w:val="single"/>
        </w:rPr>
        <w:t>Permits</w:t>
      </w:r>
      <w:r>
        <w:rPr/>
        <w:t>”).  The Permits so listed constitute all of the licenses or permits of or by any Governmental Authority that are appropriate or required for and/or used in the operation of the Business as conducted</w:t>
      </w:r>
      <w:r>
        <w:rPr>
          <w:b/>
        </w:rPr>
        <w:t xml:space="preserve"> </w:t>
      </w:r>
      <w:r>
        <w:rPr/>
        <w:t xml:space="preserve">during the third quarter of 2001. Each of the Permits so listed is in full force and effect, and Sellers are in compliance with the terms and requirements thereof and all the rules and regulations pertaining thereto.  There is not pending or, to the knowledge of Sellers, threatened, any Action to revoke, cancel, suspend, modify or refuse to renew any of the Permits so listed.  The transactions contemplated by this Agreement will not result in a default under, or a breach or violation of, or adversely affect the rights and benefits afforded to or by Sellers under any Permit.  </w:t>
      </w:r>
    </w:p>
    <w:p>
      <w:pPr>
        <w:pStyle w:val="Heading3"/>
        <w:numPr>
          <w:ilvl w:val="2"/>
          <w:numId w:val="12"/>
        </w:numPr>
        <w:ind w:hanging="0" w:start="0"/>
        <w:rPr/>
      </w:pPr>
      <w:r>
        <w:rPr/>
        <w:t>Accurate and complete copies of all of the Permits have been delivered or made available to Buyer.  All of the Permits previously delivered or made available to Buyer contain no defect.  No present or former officer, manager, member or employee of Sellers or any of their Affiliates, or any other Person, owns interest in any of the Permits.</w:t>
      </w:r>
    </w:p>
    <w:p>
      <w:pPr>
        <w:pStyle w:val="Heading2"/>
        <w:numPr>
          <w:ilvl w:val="1"/>
          <w:numId w:val="12"/>
        </w:numPr>
        <w:ind w:hanging="0" w:start="0"/>
        <w:rPr/>
      </w:pPr>
      <w:r>
        <w:rPr>
          <w:u w:val="single"/>
        </w:rPr>
        <w:t>Labor Matters</w:t>
      </w:r>
      <w:r>
        <w:fldChar w:fldCharType="begin"/>
      </w:r>
      <w:r>
        <w:rPr/>
        <w:instrText xml:space="preserve"> TC "Section 3.8</w:instrText>
        <w:tab/>
        <w:instrText xml:space="preserve">Labor Matters</w:instrText>
        <w:tab/>
        <w:instrText xml:space="preserve">“ \f C \l “2" \l 1 </w:instrText>
      </w:r>
      <w:r>
        <w:rPr/>
        <w:fldChar w:fldCharType="separate"/>
      </w:r>
      <w:r>
        <w:rPr/>
      </w:r>
      <w:r>
        <w:rPr/>
        <w:fldChar w:fldCharType="end"/>
      </w:r>
      <w:bookmarkStart w:id="31" w:name="__RefHeading___Toc535051551"/>
      <w:bookmarkEnd w:id="31"/>
      <w:r>
        <w:rPr/>
        <w:t xml:space="preserve">.  There are no collective bargaining agreements or similar agreements or arrangements with labor unions or associations representing Employees of the Business and no such agreements are being negotiated.  No work stoppage against the Business is pending or, to the Sellers’ knowledge, threatened.  Except as set forth in </w:t>
      </w:r>
      <w:r>
        <w:rPr>
          <w:u w:val="single"/>
        </w:rPr>
        <w:t>Schedule 3.8</w:t>
      </w:r>
      <w:r>
        <w:rPr/>
        <w:t>, the Business is not a party to or, to the knowledge of the Sellers, threatened with any labor dispute, arbitration, lawsuit or administrative proceeding relating to labor or employment matters (excluding routine workers’ compensation claims) involving the Employees of the Business.  No labor organization or group of employees of Sellers or any of their Affiliates has made a pending demand for recognition or certification, and there are no representation or certification proceedings or petitions seeking a representation proceeding presently pending or threatened to be brought or filed, with the United States National Labor Relations Board or any other labor relations tribunal or authority.</w:t>
      </w:r>
    </w:p>
    <w:p>
      <w:pPr>
        <w:pStyle w:val="Heading2"/>
        <w:numPr>
          <w:ilvl w:val="1"/>
          <w:numId w:val="12"/>
        </w:numPr>
        <w:ind w:hanging="0" w:start="0"/>
        <w:rPr/>
      </w:pPr>
      <w:r>
        <w:rPr>
          <w:u w:val="single"/>
        </w:rPr>
        <w:t>Compliance with Laws</w:t>
      </w:r>
      <w:r>
        <w:fldChar w:fldCharType="begin"/>
      </w:r>
      <w:r>
        <w:rPr/>
        <w:instrText xml:space="preserve"> TC "Section 3.9</w:instrText>
        <w:tab/>
        <w:instrText xml:space="preserve">Compliance with Laws</w:instrText>
        <w:tab/>
        <w:instrText xml:space="preserve">“ \f C \l “2" \l 1 </w:instrText>
      </w:r>
      <w:r>
        <w:rPr/>
        <w:fldChar w:fldCharType="separate"/>
      </w:r>
      <w:r>
        <w:rPr/>
      </w:r>
      <w:r>
        <w:rPr/>
        <w:fldChar w:fldCharType="end"/>
      </w:r>
      <w:bookmarkStart w:id="32" w:name="__RefHeading___Toc535051552"/>
      <w:bookmarkEnd w:id="32"/>
      <w:r>
        <w:rPr/>
        <w:t xml:space="preserve">.  Except as disclosed in </w:t>
      </w:r>
      <w:r>
        <w:rPr>
          <w:u w:val="single"/>
        </w:rPr>
        <w:t>Schedule 3.9</w:t>
      </w:r>
      <w:r>
        <w:rPr/>
        <w:t xml:space="preserve">, the Assets and conduct of the Business by Sellers, their Affiliates, and all current or former employees or consultants employed in the operation of the Business are and have been in compliance with all statutes, laws, regulations, by-laws, ordinances, rules, judgments, orders or decrees, applicable thereto.  Except as set forth on </w:t>
      </w:r>
      <w:r>
        <w:rPr>
          <w:u w:val="single"/>
        </w:rPr>
        <w:t>Schedule 3.9</w:t>
      </w:r>
      <w:r>
        <w:rPr/>
        <w:t xml:space="preserve">, neither any Seller nor any Affiliate of any Seller or any person listed in Schedule 8.5(a) or 8.5(b) has received any notice or other communications relating to any alleged violation of any statute, law, regulation, by-law, ordinance, rule, judgment, order or decree from any Governmental Authority, or of any investigation with respect thereto, applicable to the Business, any current or former employee or consultant employed or retained in the operation of the Business, or any Asset which has not been satisfactorily addressed.  All current assessments under workers’ compensation legislation in relation to the Business have been paid or accrued and the Business has not been and is not subject to the special or penalty assessment under such legislation that has not been paid.  </w:t>
      </w:r>
    </w:p>
    <w:p>
      <w:pPr>
        <w:pStyle w:val="Heading2"/>
        <w:numPr>
          <w:ilvl w:val="1"/>
          <w:numId w:val="12"/>
        </w:numPr>
        <w:ind w:hanging="0" w:start="0"/>
        <w:rPr/>
      </w:pPr>
      <w:r>
        <w:rPr>
          <w:u w:val="single"/>
        </w:rPr>
        <w:t>Contracts</w:t>
      </w:r>
      <w:r>
        <w:fldChar w:fldCharType="begin"/>
      </w:r>
      <w:r>
        <w:rPr/>
        <w:instrText xml:space="preserve"> TC "Section 3.10</w:instrText>
        <w:tab/>
        <w:instrText xml:space="preserve">Contracts</w:instrText>
        <w:tab/>
        <w:instrText xml:space="preserve">“ \f C \l “2" \l 1 </w:instrText>
      </w:r>
      <w:r>
        <w:rPr/>
        <w:fldChar w:fldCharType="separate"/>
      </w:r>
      <w:r>
        <w:rPr/>
      </w:r>
      <w:r>
        <w:rPr/>
        <w:fldChar w:fldCharType="end"/>
      </w:r>
      <w:bookmarkStart w:id="33" w:name="__RefHeading___Toc535051553"/>
      <w:bookmarkEnd w:id="33"/>
      <w:r>
        <w:rPr/>
        <w:t>.  (</w:t>
      </w:r>
      <w:r>
        <w:rPr>
          <w:lang w:val="en-CA"/>
        </w:rPr>
        <w:t>a</w:t>
      </w:r>
      <w:r>
        <w:rPr/>
        <w:t xml:space="preserve">)  </w:t>
      </w:r>
      <w:r>
        <w:rPr>
          <w:u w:val="single"/>
        </w:rPr>
        <w:t>Schedule 3.10</w:t>
      </w:r>
      <w:r>
        <w:rPr/>
        <w:t xml:space="preserve"> contains a complete and correct list of all agreements, contracts, commitments, understandings and other instruments and arrangements (whether written or oral) of the types described below (1) by which any of the Assets are bound or affected or (2) to which any Seller or any Affiliate is a party or by which it is bound or affected in connection with the Business or the Assets, other than any which relate solely to Excluded Assets, Excluded Liabilities or Employee Benefit Plans (collectively, “</w:t>
      </w:r>
      <w:r>
        <w:rPr>
          <w:u w:val="single"/>
        </w:rPr>
        <w:t>Contracts</w:t>
      </w:r>
      <w:r>
        <w:rPr/>
        <w:t>”):</w:t>
      </w:r>
    </w:p>
    <w:p>
      <w:pPr>
        <w:pStyle w:val="Heading4"/>
        <w:numPr>
          <w:ilvl w:val="3"/>
          <w:numId w:val="12"/>
        </w:numPr>
        <w:ind w:hanging="0" w:start="0"/>
        <w:rPr/>
      </w:pPr>
      <w:r>
        <w:rPr/>
        <w:t>any employment, consulting, severance, termination, retention, compensation, incentive or indemnification agreement, contract or arrangement, written or, to Seller’s knowledge, oral, with any current officer, consultant, director or employee performing services in the operation of the Business with agreement commitments in excess of $50,000;</w:t>
      </w:r>
    </w:p>
    <w:p>
      <w:pPr>
        <w:pStyle w:val="Heading4"/>
        <w:numPr>
          <w:ilvl w:val="3"/>
          <w:numId w:val="12"/>
        </w:numPr>
        <w:ind w:hanging="0" w:start="0"/>
        <w:rPr/>
      </w:pPr>
      <w:r>
        <w:rPr/>
        <w:t>any joint venture contract or arrangement or any other agreement that has involved or is expected to involve a sharing of revenues of $250,000 per annum or more with other persons;</w:t>
      </w:r>
    </w:p>
    <w:p>
      <w:pPr>
        <w:pStyle w:val="Heading4"/>
        <w:numPr>
          <w:ilvl w:val="3"/>
          <w:numId w:val="12"/>
        </w:numPr>
        <w:ind w:hanging="0" w:start="0"/>
        <w:rPr/>
      </w:pPr>
      <w:r>
        <w:rPr/>
        <w:t>any lease for personal property in which the amount of payments that any Seller is required to make, or is expected to receive, on an annual basis exceeds $100,000;</w:t>
      </w:r>
    </w:p>
    <w:p>
      <w:pPr>
        <w:pStyle w:val="Heading4"/>
        <w:numPr>
          <w:ilvl w:val="3"/>
          <w:numId w:val="12"/>
        </w:numPr>
        <w:ind w:hanging="0" w:start="0"/>
        <w:rPr/>
      </w:pPr>
      <w:r>
        <w:rPr/>
        <w:t xml:space="preserve">any contract or agreement for the purchase by Sellers of products or services that either (A) has a term of one year or longer or (B) is reasonably expected to result in purchases or sales in excess of $250,000 over the term of such contract or agreement (assuming all renewals and extensions are taken), and any customer agreements; </w:t>
      </w:r>
    </w:p>
    <w:p>
      <w:pPr>
        <w:pStyle w:val="Heading4"/>
        <w:numPr>
          <w:ilvl w:val="3"/>
          <w:numId w:val="12"/>
        </w:numPr>
        <w:ind w:hanging="0" w:start="0"/>
        <w:rPr/>
      </w:pPr>
      <w:r>
        <w:rPr/>
        <w:t>any agreement, contract, policy, license, document, instrument, arrangement or commitment that limits the freedom of Sellers or any of their Affiliates or any of its employees to compete in any line of business or with any person or in any geographic area or that would so limit the freedom of the Business or Buyer or any of its subsidiaries after the Closing Date;</w:t>
      </w:r>
    </w:p>
    <w:p>
      <w:pPr>
        <w:pStyle w:val="Heading4"/>
        <w:numPr>
          <w:ilvl w:val="3"/>
          <w:numId w:val="12"/>
        </w:numPr>
        <w:ind w:hanging="0" w:start="0"/>
        <w:rPr/>
      </w:pPr>
      <w:r>
        <w:rPr/>
        <w:t>any agreement or contract relating to any outstanding commitment for capital expenditures in excess of $250,000 individually or $500,000 in the aggregate, or any partially or fully executory agreement or contract relating to the acquisition or disposition of rights or assets having a value of in excess of $250,000 individually or $500,000 in the aggregate;</w:t>
      </w:r>
    </w:p>
    <w:p>
      <w:pPr>
        <w:pStyle w:val="Heading4"/>
        <w:numPr>
          <w:ilvl w:val="3"/>
          <w:numId w:val="12"/>
        </w:numPr>
        <w:ind w:hanging="0" w:start="0"/>
        <w:rPr/>
      </w:pPr>
      <w:r>
        <w:rPr/>
        <w:t xml:space="preserve">any sale-leaseback, conditional sale, exclusive dealing, brokerage, finder’s fee or take-or-pay contract or agreement; </w:t>
      </w:r>
    </w:p>
    <w:p>
      <w:pPr>
        <w:pStyle w:val="Heading4"/>
        <w:numPr>
          <w:ilvl w:val="3"/>
          <w:numId w:val="12"/>
        </w:numPr>
        <w:ind w:hanging="0" w:start="0"/>
        <w:rPr/>
      </w:pPr>
      <w:r>
        <w:rPr/>
        <w:t xml:space="preserve">any agreement, contract, policy, license, document, instrument, arrangement or commitment pursuant to which any Seller owns or has or has granted or has been granted rights in, or the right to use, any Business Intellectual Property; </w:t>
      </w:r>
    </w:p>
    <w:p>
      <w:pPr>
        <w:pStyle w:val="Heading4"/>
        <w:numPr>
          <w:ilvl w:val="3"/>
          <w:numId w:val="12"/>
        </w:numPr>
        <w:ind w:hanging="0" w:start="0"/>
        <w:rPr/>
      </w:pPr>
      <w:r>
        <w:rPr/>
        <w:t xml:space="preserve">any agreements, contracts or other arrangements with the twenty largest customers of the Business (by dollar volume of revenue for the twelve months ending September 30, 2001);  </w:t>
      </w:r>
    </w:p>
    <w:p>
      <w:pPr>
        <w:pStyle w:val="Heading4"/>
        <w:numPr>
          <w:ilvl w:val="3"/>
          <w:numId w:val="12"/>
        </w:numPr>
        <w:ind w:hanging="0" w:start="0"/>
        <w:rPr/>
      </w:pPr>
      <w:r>
        <w:rPr/>
        <w:t>any agreement, contract or license related to any Business Intellectual Property, computer and telecommunications hardware leases, reproduction equipment leases, data agreements, research services agreements, agreements for the support and maintenance of facilities, reproduction equipment or telecommunications hardware and software; or</w:t>
      </w:r>
    </w:p>
    <w:p>
      <w:pPr>
        <w:pStyle w:val="Heading4"/>
        <w:numPr>
          <w:ilvl w:val="3"/>
          <w:numId w:val="12"/>
        </w:numPr>
        <w:ind w:hanging="0" w:start="0"/>
        <w:rPr/>
      </w:pPr>
      <w:r>
        <w:rPr/>
        <w:t>any other agreement, contract, policy, license, document, instrument, arrangement or commitment (A) having a term of one year or longer, (B) providing for aggregate payments by or to Sellers or any of their Affiliates (singly or together with other related agreements) of $250,000 or more, or (C) that is material to the Business.</w:t>
      </w:r>
    </w:p>
    <w:p>
      <w:pPr>
        <w:pStyle w:val="Heading3"/>
        <w:numPr>
          <w:ilvl w:val="2"/>
          <w:numId w:val="12"/>
        </w:numPr>
        <w:ind w:hanging="0" w:start="0"/>
        <w:rPr/>
      </w:pPr>
      <w:r>
        <w:rPr/>
        <w:t>Sellers have made available to Buyer true, complete and correct copies of all written Contracts (and accurate and complete written descriptions of all oral Contracts), in every case together with all amendments thereto.</w:t>
      </w:r>
    </w:p>
    <w:p>
      <w:pPr>
        <w:pStyle w:val="Heading3"/>
        <w:numPr>
          <w:ilvl w:val="2"/>
          <w:numId w:val="12"/>
        </w:numPr>
        <w:ind w:hanging="0" w:start="0"/>
        <w:rPr/>
      </w:pPr>
      <w:r>
        <w:rPr/>
        <w:t xml:space="preserve">(i) All Assumed Contracts are in full force and effect and enforceable by and against each Seller and (ii) to the knowledge of Sellers, all Assumed Contracts are (as of the date hereof) and, assuming the order referred to in Section 8.4(c) is entered, shall be (as of the Closing) in full force and effect and enforceable against each other party thereto.  There does not exist (and there will not exist as of or by virtue of the Closing) under any Assumed Contract any event of default or event or condition that, after notice or lapse of time or both, would constitute a violation, breach or event of default thereunder on the part of any Seller or any of its Affiliates or any other party thereto except as set forth in </w:t>
      </w:r>
      <w:r>
        <w:rPr>
          <w:u w:val="single"/>
        </w:rPr>
        <w:t>Schedule 3.10(c)</w:t>
      </w:r>
      <w:r>
        <w:rPr/>
        <w:t xml:space="preserve">.  Except as set forth in </w:t>
      </w:r>
      <w:r>
        <w:rPr>
          <w:u w:val="single"/>
        </w:rPr>
        <w:t>Schedule 3.10(c)</w:t>
      </w:r>
      <w:r>
        <w:rPr/>
        <w:t xml:space="preserve">, no Seller or its Affiliate has received any written notice of a default (which has not been cured), offset or counterclaim under any Assumed Contract or asserting noncompliance therewith or asserting that Sellers or any of their Affiliates have waived or altered their rights thereunder.  Except as set forth in </w:t>
      </w:r>
      <w:r>
        <w:rPr>
          <w:u w:val="single"/>
        </w:rPr>
        <w:t>Schedule 3.10(c)</w:t>
      </w:r>
      <w:r>
        <w:rPr/>
        <w:t>, no Consent of or notice to any third party is required under any Assumed Contract as a result of or in connection with, and the enforceability of each Assumed Contract will not be affected in any manner by, the execution, delivery and performance of this Agreement or the consummation of the transactions contemplated hereby.</w:t>
      </w:r>
    </w:p>
    <w:p>
      <w:pPr>
        <w:pStyle w:val="Heading2"/>
        <w:keepNext w:val="true"/>
        <w:numPr>
          <w:ilvl w:val="1"/>
          <w:numId w:val="12"/>
        </w:numPr>
        <w:ind w:hanging="0" w:start="0"/>
        <w:rPr>
          <w:vanish/>
          <w:u w:val="single"/>
        </w:rPr>
      </w:pPr>
      <w:r>
        <w:rPr>
          <w:u w:val="single"/>
        </w:rPr>
        <w:t>Real Property</w:t>
      </w:r>
      <w:r>
        <w:fldChar w:fldCharType="begin"/>
      </w:r>
      <w:r>
        <w:rPr/>
        <w:instrText xml:space="preserve"> TC "Section 3.11</w:instrText>
        <w:tab/>
        <w:instrText xml:space="preserve">Real Property</w:instrText>
        <w:tab/>
        <w:instrText xml:space="preserve">“ \f C \l “2" \l 1 </w:instrText>
      </w:r>
      <w:r>
        <w:rPr/>
        <w:fldChar w:fldCharType="separate"/>
      </w:r>
      <w:r>
        <w:rPr/>
      </w:r>
      <w:r>
        <w:rPr/>
        <w:fldChar w:fldCharType="end"/>
      </w:r>
      <w:bookmarkStart w:id="34" w:name="__RefHeading___Toc535051554"/>
      <w:bookmarkEnd w:id="34"/>
      <w:r>
        <w:rPr/>
        <w:t>.  (</w:t>
      </w:r>
      <w:r>
        <w:rPr>
          <w:lang w:val="en-CA"/>
        </w:rPr>
        <w:t>a</w:t>
      </w:r>
      <w:r>
        <w:rPr/>
        <w:t xml:space="preserve">)  </w:t>
      </w:r>
    </w:p>
    <w:p>
      <w:pPr>
        <w:pStyle w:val="Heading3"/>
        <w:numPr>
          <w:ilvl w:val="2"/>
          <w:numId w:val="12"/>
        </w:numPr>
        <w:ind w:hanging="0" w:start="0"/>
        <w:rPr/>
      </w:pPr>
      <w:r>
        <w:rPr>
          <w:u w:val="single"/>
        </w:rPr>
        <w:t>Schedule 3.11(a)(i)</w:t>
      </w:r>
      <w:r>
        <w:rPr/>
        <w:t xml:space="preserve"> lists all real property (including all land and buildings) which is used or held for use by any Seller or any of its Affiliates as owner, lessor, lessee or sublessee in connection with the Business (the “</w:t>
      </w:r>
      <w:r>
        <w:rPr>
          <w:u w:val="single"/>
        </w:rPr>
        <w:t>Business Real Estate</w:t>
      </w:r>
      <w:r>
        <w:rPr/>
        <w:t xml:space="preserve">”).  Sellers have delivered or caused to be delivered to Buyer complete and accurate copies of any written leases and subleases, including all amendments and modifications thereto, pursuant to which any Seller or its Affiliate leases any Business Real Estate, all of which leases and subleases and amendments and modifications thereto are described in </w:t>
      </w:r>
      <w:r>
        <w:rPr>
          <w:u w:val="single"/>
        </w:rPr>
        <w:t>Schedule 3.11(a)(i)</w:t>
      </w:r>
      <w:r>
        <w:rPr/>
        <w:t xml:space="preserve"> (the “</w:t>
      </w:r>
      <w:r>
        <w:rPr>
          <w:u w:val="single"/>
        </w:rPr>
        <w:t>Business Leases</w:t>
      </w:r>
      <w:r>
        <w:rPr/>
        <w:t xml:space="preserve">,” and to the extent so denoted by Buyer prior to Closing in </w:t>
      </w:r>
      <w:r>
        <w:rPr>
          <w:u w:val="single"/>
        </w:rPr>
        <w:t>Schedule 3.11(a)(i)</w:t>
      </w:r>
      <w:r>
        <w:rPr/>
        <w:t>, the “</w:t>
      </w:r>
      <w:r>
        <w:rPr>
          <w:u w:val="single"/>
        </w:rPr>
        <w:t>Assumed Leases</w:t>
      </w:r>
      <w:r>
        <w:rPr/>
        <w:t xml:space="preserve">”).  Except as disclosed in </w:t>
      </w:r>
      <w:r>
        <w:rPr>
          <w:u w:val="single"/>
        </w:rPr>
        <w:t>Schedule 3.11(a)(ii)</w:t>
      </w:r>
      <w:r>
        <w:rPr/>
        <w:t xml:space="preserve">, no Seller nor any of its Affiliates has received notice of, or has knowledge of, condemnation or eminent domain proceedings pending or threatened against any Business Real Estate.  Except as disclosed in </w:t>
      </w:r>
      <w:r>
        <w:rPr>
          <w:u w:val="single"/>
        </w:rPr>
        <w:t>Schedule 3.11(a)(ii)</w:t>
      </w:r>
      <w:r>
        <w:rPr/>
        <w:t xml:space="preserve">, no Seller nor any of its Affiliates has received any notice from any city, village or other Governmental Authority of, or otherwise has any knowledge of, any zoning, ordinance, building, fire or health code or other legal violation in respect of any Business Real Estate.  Other than for exceptions to the following, which are set forth in </w:t>
      </w:r>
      <w:r>
        <w:rPr>
          <w:u w:val="single"/>
        </w:rPr>
        <w:t>Schedule 3.11(a)(iii)</w:t>
      </w:r>
      <w:r>
        <w:rPr/>
        <w:t>:</w:t>
      </w:r>
    </w:p>
    <w:p>
      <w:pPr>
        <w:pStyle w:val="Heading4"/>
        <w:numPr>
          <w:ilvl w:val="3"/>
          <w:numId w:val="12"/>
        </w:numPr>
        <w:ind w:hanging="0" w:start="0"/>
        <w:rPr/>
      </w:pPr>
      <w:r>
        <w:rPr/>
        <w:t>Sellers have good, valid and marketable title to the Business Real Estate, and the Business Leases are in full force and effect and are valid, binding and enforceable in accordance with their respective terms;</w:t>
      </w:r>
    </w:p>
    <w:p>
      <w:pPr>
        <w:pStyle w:val="Heading4"/>
        <w:numPr>
          <w:ilvl w:val="3"/>
          <w:numId w:val="12"/>
        </w:numPr>
        <w:ind w:hanging="0" w:start="0"/>
        <w:rPr/>
      </w:pPr>
      <w:r>
        <w:rPr/>
        <w:t>no amount payable under any Business Lease is past due;</w:t>
      </w:r>
    </w:p>
    <w:p>
      <w:pPr>
        <w:pStyle w:val="Heading4"/>
        <w:numPr>
          <w:ilvl w:val="3"/>
          <w:numId w:val="12"/>
        </w:numPr>
        <w:ind w:hanging="0" w:start="0"/>
        <w:rPr/>
      </w:pPr>
      <w:r>
        <w:rPr/>
        <w:t>neither any Seller nor any Affiliate of any Seller has received any written notice (A) of a default (which has not been cured), offset or counterclaim under any Business Lease, or asserting noncompliance therewith or asserting that Sellers or any of their Affiliates have waived or altered its rights thereunder, and no event or condition has happened or presently exists which constitutes a default or, after notice or lapse of time or both, would constitute a default under any Business Lease on the part of Sellers or any of their Affiliates or on the part of any other party, or (B) of any Action against any party under any Business Lease which if adversely determined would result in such Business Lease being terminated or cut off; and</w:t>
      </w:r>
    </w:p>
    <w:p>
      <w:pPr>
        <w:pStyle w:val="Heading4"/>
        <w:numPr>
          <w:ilvl w:val="3"/>
          <w:numId w:val="12"/>
        </w:numPr>
        <w:ind w:hanging="0" w:start="0"/>
        <w:rPr/>
      </w:pPr>
      <w:r>
        <w:rPr/>
        <w:t xml:space="preserve">neither any Seller nor any Affiliate of any Seller has assigned, mortgaged, pledged or otherwise encumbered its interest in any Business Real Estate under any Business Lease or entered into any sublease with respect to any Business Real Estate or any Business Lease, nor has any such party entered into any agreement or commitment to take any such action. </w:t>
      </w:r>
    </w:p>
    <w:p>
      <w:pPr>
        <w:pStyle w:val="Heading3"/>
        <w:numPr>
          <w:ilvl w:val="2"/>
          <w:numId w:val="12"/>
        </w:numPr>
        <w:ind w:hanging="0" w:start="0"/>
        <w:rPr/>
      </w:pPr>
      <w:r>
        <w:rPr/>
        <w:t xml:space="preserve">The Business Real Estate constitutes, in the aggregate, all of the real property used to conduct the Business in the manner conducted during the third quarter of 2001. Except as set forth in </w:t>
      </w:r>
      <w:r>
        <w:rPr>
          <w:u w:val="single"/>
        </w:rPr>
        <w:t>Schedule 3.11(b)</w:t>
      </w:r>
      <w:r>
        <w:rPr/>
        <w:t>, Sellers and their Affiliates are in exclusive possession of the Business Real Estate and no Business Real Estate is subject to any third party rights or Encumbrances other than the rights of lessors under the Assumed Leases.  There are no pending or, to Sellers’ knowledge, threatened proceedings regarding the amount of the Taxes on, or the assessed valuation of, the Business Real Estate, or relating to condemnation of any portion thereof or impact fees, special assessments or similar matters with respect thereto.  No work is required to be performed on any Business Real Estate in order to bring such property into compliance with any Assumed Lease, law or insurance company requirement.</w:t>
      </w:r>
    </w:p>
    <w:p>
      <w:pPr>
        <w:pStyle w:val="Heading2"/>
        <w:keepNext w:val="true"/>
        <w:numPr>
          <w:ilvl w:val="1"/>
          <w:numId w:val="12"/>
        </w:numPr>
        <w:ind w:hanging="0" w:start="0"/>
        <w:rPr>
          <w:rFonts w:ascii="CG Times" w:hAnsi="CG Times" w:cs="CG Times"/>
        </w:rPr>
      </w:pPr>
      <w:r>
        <w:rPr>
          <w:u w:val="single"/>
        </w:rPr>
        <w:t>Employee Benefit Plans and Related Matters</w:t>
      </w:r>
      <w:r>
        <w:fldChar w:fldCharType="begin"/>
      </w:r>
      <w:r>
        <w:rPr/>
        <w:instrText xml:space="preserve"> TC "Section 3.12</w:instrText>
        <w:tab/>
        <w:instrText xml:space="preserve">Employee Benefit Plans and Related Matters</w:instrText>
        <w:tab/>
        <w:instrText xml:space="preserve">“ \f C \l “2" \l 1 </w:instrText>
      </w:r>
      <w:r>
        <w:rPr/>
        <w:fldChar w:fldCharType="separate"/>
      </w:r>
      <w:r>
        <w:rPr/>
      </w:r>
      <w:r>
        <w:rPr/>
        <w:fldChar w:fldCharType="end"/>
      </w:r>
      <w:bookmarkStart w:id="35" w:name="__RefHeading___Toc535051555"/>
      <w:bookmarkEnd w:id="35"/>
      <w:r>
        <w:rPr/>
        <w:t xml:space="preserve">.  (a) </w:t>
      </w:r>
      <w:r>
        <w:rPr>
          <w:rFonts w:cs="CG Times" w:ascii="CG Times" w:hAnsi="CG Times"/>
        </w:rPr>
        <w:t>Sellers have made available to Buyer true and complete copies of all Employee Benefit Plans maintained or contributed to by Sellers or their Affiliates for the benefit of any Employee (each, a “</w:t>
      </w:r>
      <w:r>
        <w:rPr>
          <w:rFonts w:cs="CG Times" w:ascii="CG Times" w:hAnsi="CG Times"/>
          <w:u w:val="single"/>
        </w:rPr>
        <w:t>Business Benefit Plan</w:t>
      </w:r>
      <w:r>
        <w:rPr>
          <w:rFonts w:cs="CG Times" w:ascii="CG Times" w:hAnsi="CG Times"/>
        </w:rPr>
        <w:t xml:space="preserve">”). </w:t>
      </w:r>
    </w:p>
    <w:p>
      <w:pPr>
        <w:pStyle w:val="Heading3"/>
        <w:numPr>
          <w:ilvl w:val="2"/>
          <w:numId w:val="22"/>
        </w:numPr>
        <w:rPr/>
      </w:pPr>
      <w:r>
        <w:rPr>
          <w:u w:val="single"/>
        </w:rPr>
        <w:t>Schedule 3.12(b)</w:t>
      </w:r>
      <w:r>
        <w:rPr/>
        <w:t xml:space="preserve"> lists each Employment Agreement, and Sellers have supplied Buyer with a true and correct copy of each Employment Agreement and any amendments thereto.</w:t>
      </w:r>
    </w:p>
    <w:p>
      <w:pPr>
        <w:pStyle w:val="Heading3"/>
        <w:numPr>
          <w:ilvl w:val="2"/>
          <w:numId w:val="12"/>
        </w:numPr>
        <w:ind w:hanging="0" w:start="0"/>
        <w:rPr/>
      </w:pPr>
      <w:r>
        <w:rPr>
          <w:u w:val="single"/>
        </w:rPr>
        <w:t>Schedule 3.12(c)</w:t>
      </w:r>
      <w:r>
        <w:rPr/>
        <w:t xml:space="preserve"> contains a complete and accurate list as of the date hereof of (i) all current Employees, their positions, their business locations, their annual, weekly or hourly rates of compensation (as applicable), and annual bonus and incentive compensation for calendar years 2000 and 2001, such Employee’s service recognized by Sellers or their Affiliates for purposes of the Business Benefit Plans (including service with predecessor employers, if applicable, and any prior unbridged service with Sellers or an Affiliate of Sellers), any Employment Agreement to which such Employee is a party, and their status as full or part-time and active or on leave, and (ii) the scope and duration of all non-competition agreements entered into by all Employees.</w:t>
      </w:r>
    </w:p>
    <w:p>
      <w:pPr>
        <w:pStyle w:val="Heading3"/>
        <w:numPr>
          <w:ilvl w:val="2"/>
          <w:numId w:val="12"/>
        </w:numPr>
        <w:ind w:hanging="0" w:start="0"/>
        <w:rPr/>
      </w:pPr>
      <w:r>
        <w:rPr>
          <w:u w:val="single"/>
        </w:rPr>
        <w:t>Schedule 3.12(d)</w:t>
      </w:r>
      <w:r>
        <w:rPr/>
        <w:t xml:space="preserve"> sets forth a complete list of all amounts that could be received (whether in cash, property or vesting of property) as a result of the transactions contemplated by this Agreement by any Employee, and any such amounts that could be received by any individual who is a “disqualified individual” (as defined in proposed Treasury Regulation section 1.280G-1), under any Contract, Employee Benefit Plan or Employment Agreement could not be characterized as an “excess parachute payment” (as defined in section 280G of the Code).</w:t>
      </w:r>
    </w:p>
    <w:p>
      <w:pPr>
        <w:pStyle w:val="BodyText"/>
        <w:rPr/>
      </w:pPr>
      <w:r>
        <w:rPr/>
        <w:t xml:space="preserve">(f)  </w:t>
        <w:tab/>
        <w:t>No individual or entity performs services for the Business as a consultant or independent contractor.</w:t>
      </w:r>
    </w:p>
    <w:p>
      <w:pPr>
        <w:pStyle w:val="Heading2"/>
        <w:numPr>
          <w:ilvl w:val="1"/>
          <w:numId w:val="12"/>
        </w:numPr>
        <w:ind w:hanging="0" w:start="0"/>
        <w:rPr/>
      </w:pPr>
      <w:r>
        <w:rPr>
          <w:u w:val="single"/>
        </w:rPr>
        <w:t>Environmental and Safety Matters</w:t>
      </w:r>
      <w:r>
        <w:fldChar w:fldCharType="begin"/>
      </w:r>
      <w:r>
        <w:rPr/>
        <w:instrText xml:space="preserve"> TC "Section 3.13</w:instrText>
        <w:tab/>
        <w:instrText xml:space="preserve">Environmental and Safety Matters</w:instrText>
        <w:tab/>
        <w:instrText xml:space="preserve"> </w:instrText>
        <w:tab/>
        <w:instrText xml:space="preserve">“\f C \l</w:instrText>
        <w:tab/>
        <w:instrText xml:space="preserve">“2" \l 1 </w:instrText>
      </w:r>
      <w:r>
        <w:rPr/>
        <w:fldChar w:fldCharType="separate"/>
      </w:r>
      <w:r>
        <w:rPr/>
      </w:r>
      <w:r>
        <w:rPr/>
        <w:fldChar w:fldCharType="end"/>
      </w:r>
      <w:bookmarkStart w:id="36" w:name="__RefHeading___Toc535051556"/>
      <w:bookmarkEnd w:id="36"/>
      <w:r>
        <w:rPr/>
        <w:t>.  The Business has been operated, and the Assets and the property subject to the Assumed Leases are, in compliance with all applicable Environmental Laws (which compliance includes, but is not limited to, the possession by the Sellers of all permits and other Governmental Approvals required under applicable Environmental Laws, and compliance with the terms and conditions thereof).  To Sellers’ knowledge, Sellers are not liable, and there is no existing condition which could reasonably be expected to result in any liability to Buyer, for any costs, obligations, penalties, fines, or forfeitures for failure to comply with any Environmental Laws, or with respect to any environmental conditions or any release or presence of any Hazardous Substances, nor are they required to remedy or remove any existing condition or substance from any real property rented or used by them relating to any Assets or the Business.  Sellers have not received any notice or warning from any Government Authority with respect to any failure or alleged failure by Sellers to comply with any Environmental Laws or from any third party with respect to any claims based on environmental conditions or the release or presence of any Hazardous Substances on any property subject to the Assumed Leases, or related to any Assets or the Business.  Sellers are in compliance with the requirements of the Occupational Safety and Health Act and the regulations promulgated thereunder and any similar laws or regulations of any federal, state, provincial, territorial or local jurisdiction (“</w:t>
      </w:r>
      <w:r>
        <w:rPr>
          <w:u w:val="single"/>
        </w:rPr>
        <w:t>OSHA</w:t>
      </w:r>
      <w:r>
        <w:rPr/>
        <w:t xml:space="preserve">”).  No Seller has received any material citation, order or charges from the Occupational Safety and Health Administration or any comparable Government Authority or any Government Authority inspector setting forth any respect in which the facilities or operations of such Seller relating to the Assets or the Business are not in compliance with OSHA, or the regulations under such act, which non-compliance has not been corrected or remedied to the satisfaction of such Government Authority or inspector. </w:t>
      </w:r>
    </w:p>
    <w:p>
      <w:pPr>
        <w:pStyle w:val="Heading2"/>
        <w:numPr>
          <w:ilvl w:val="1"/>
          <w:numId w:val="12"/>
        </w:numPr>
        <w:ind w:hanging="0" w:start="0"/>
        <w:rPr/>
      </w:pPr>
      <w:r>
        <w:rPr>
          <w:u w:val="single"/>
        </w:rPr>
        <w:t>Fees and Expenses</w:t>
      </w:r>
      <w:r>
        <w:fldChar w:fldCharType="begin"/>
      </w:r>
      <w:r>
        <w:rPr/>
        <w:instrText xml:space="preserve"> TC "Section 3.14</w:instrText>
        <w:tab/>
        <w:instrText xml:space="preserve">Fees and Expenses</w:instrText>
        <w:tab/>
        <w:instrText xml:space="preserve"> </w:instrText>
        <w:tab/>
        <w:instrText xml:space="preserve">“\f C \l</w:instrText>
        <w:tab/>
        <w:instrText xml:space="preserve">“2" \l 1 </w:instrText>
      </w:r>
      <w:r>
        <w:rPr/>
        <w:fldChar w:fldCharType="separate"/>
      </w:r>
      <w:r>
        <w:rPr/>
      </w:r>
      <w:r>
        <w:rPr/>
        <w:fldChar w:fldCharType="end"/>
      </w:r>
      <w:bookmarkStart w:id="37" w:name="__RefHeading___Toc535051557"/>
      <w:bookmarkEnd w:id="37"/>
      <w:r>
        <w:rPr/>
        <w:t>.  Other than as is payable by Sellers or their Affiliates and not by Buyer, Parent or any of their Affiliates, and as not and will not result in any or increase any Assumed Liability, no broker, investment banker, financial advisor or other person is entitled to any broker’s, finder’s, financial advisor’s or other similar fee or commission in connection with the transactions contemplated by this Agreement based upon arrangements made by or on behalf of Sellers or their Affiliates.  No such engagement letters obligate the Business or the owner of the Assets to continue to use the services of any broker, investment banker, financial advisor or other person or pay fees or expenses in connection with any future transaction.</w:t>
      </w:r>
    </w:p>
    <w:p>
      <w:pPr>
        <w:pStyle w:val="Heading2"/>
        <w:numPr>
          <w:ilvl w:val="1"/>
          <w:numId w:val="12"/>
        </w:numPr>
        <w:ind w:hanging="0" w:start="0"/>
        <w:rPr/>
      </w:pPr>
      <w:r>
        <w:rPr>
          <w:u w:val="single"/>
        </w:rPr>
        <w:t>Interested Party Transactions</w:t>
      </w:r>
      <w:r>
        <w:fldChar w:fldCharType="begin"/>
      </w:r>
      <w:r>
        <w:rPr/>
        <w:instrText xml:space="preserve"> TC "Section 3.15</w:instrText>
        <w:tab/>
        <w:instrText xml:space="preserve">Interested Party Transactions</w:instrText>
        <w:tab/>
        <w:instrText xml:space="preserve"> </w:instrText>
        <w:tab/>
        <w:instrText xml:space="preserve">“\f C \l</w:instrText>
        <w:tab/>
        <w:instrText xml:space="preserve">“2" \l 1 </w:instrText>
      </w:r>
      <w:r>
        <w:rPr/>
        <w:fldChar w:fldCharType="separate"/>
      </w:r>
      <w:r>
        <w:rPr/>
      </w:r>
      <w:r>
        <w:rPr/>
        <w:fldChar w:fldCharType="end"/>
      </w:r>
      <w:bookmarkStart w:id="38" w:name="__RefHeading___Toc535051558"/>
      <w:bookmarkEnd w:id="38"/>
      <w:r>
        <w:rPr/>
        <w:t xml:space="preserve">.  Except as disclosed in </w:t>
      </w:r>
      <w:r>
        <w:rPr>
          <w:u w:val="single"/>
        </w:rPr>
        <w:t>Schedule 3.15</w:t>
      </w:r>
      <w:r>
        <w:rPr/>
        <w:t>, no officer or director of any Seller or any Affiliate of any Seller or any associate of any such person has, either directly or indirectly, (a) any interest in any contract, arrangement or property (real or personal, tangible or intangible) used in the Business or pertaining to the Assets or Assumed Liabilities, with a value in excess of $250,000 or (b) conducted any transaction with or involving the Business since September 30, 2000.</w:t>
      </w:r>
    </w:p>
    <w:p>
      <w:pPr>
        <w:pStyle w:val="Heading2"/>
        <w:numPr>
          <w:ilvl w:val="1"/>
          <w:numId w:val="12"/>
        </w:numPr>
        <w:ind w:hanging="0" w:start="0"/>
        <w:rPr/>
      </w:pPr>
      <w:r>
        <w:rPr>
          <w:u w:val="single"/>
        </w:rPr>
        <w:t>Board Approval and Recommendation</w:t>
      </w:r>
      <w:r>
        <w:fldChar w:fldCharType="begin"/>
      </w:r>
      <w:r>
        <w:rPr/>
        <w:instrText xml:space="preserve"> TC "Section 3.16</w:instrText>
        <w:tab/>
        <w:instrText xml:space="preserve">Board Approval and Recommendation</w:instrText>
        <w:tab/>
        <w:instrText xml:space="preserve"> </w:instrText>
        <w:tab/>
        <w:instrText xml:space="preserve">“\f C \l</w:instrText>
        <w:tab/>
        <w:instrText xml:space="preserve">“2" \l 1 </w:instrText>
      </w:r>
      <w:r>
        <w:rPr/>
        <w:fldChar w:fldCharType="separate"/>
      </w:r>
      <w:r>
        <w:rPr/>
      </w:r>
      <w:r>
        <w:rPr/>
        <w:fldChar w:fldCharType="end"/>
      </w:r>
      <w:bookmarkStart w:id="39" w:name="__RefHeading___Toc535051559"/>
      <w:bookmarkEnd w:id="39"/>
      <w:r>
        <w:rPr/>
        <w:t>.  The Board of Directors of each Seller unanimously have (a) determined that this Agreement and the transactions contemplated hereby, including the Asset Purchase, are advisable, fair to and in the best interests of those persons to whom the directors owe fiduciary duties under Applicable Law, (b) determined that an immediate sale of the Assets pursuant to section 363 of the Bankruptcy Code is necessary and urgent as the value of the Assets, and, therefore, the value ultimately available to the creditors and stockholders of Enron and its subsidiaries, is rapidly deteriorating, and (c) approved this Agreement and the transactions contemplated hereby (the “</w:t>
      </w:r>
      <w:r>
        <w:rPr>
          <w:u w:val="single"/>
        </w:rPr>
        <w:t>Sellers’ Board Determination</w:t>
      </w:r>
      <w:r>
        <w:rPr/>
        <w:t>”).</w:t>
      </w:r>
    </w:p>
    <w:p>
      <w:pPr>
        <w:pStyle w:val="Heading2"/>
        <w:numPr>
          <w:ilvl w:val="1"/>
          <w:numId w:val="12"/>
        </w:numPr>
        <w:ind w:hanging="0" w:start="0"/>
        <w:rPr/>
      </w:pPr>
      <w:r>
        <w:rPr>
          <w:u w:val="single"/>
        </w:rPr>
        <w:t>Disclosure</w:t>
      </w:r>
      <w:r>
        <w:fldChar w:fldCharType="begin"/>
      </w:r>
      <w:r>
        <w:rPr/>
        <w:instrText xml:space="preserve"> TC "Section 3.17</w:instrText>
        <w:tab/>
        <w:instrText xml:space="preserve">Disclosure</w:instrText>
        <w:tab/>
        <w:instrText xml:space="preserve"> </w:instrText>
        <w:tab/>
        <w:instrText xml:space="preserve">“\f C \l</w:instrText>
        <w:tab/>
        <w:instrText xml:space="preserve">“2" \l 1 </w:instrText>
      </w:r>
      <w:r>
        <w:rPr/>
        <w:fldChar w:fldCharType="separate"/>
      </w:r>
      <w:r>
        <w:rPr/>
      </w:r>
      <w:r>
        <w:rPr/>
        <w:fldChar w:fldCharType="end"/>
      </w:r>
      <w:bookmarkStart w:id="40" w:name="__RefHeading___Toc535051560"/>
      <w:bookmarkEnd w:id="40"/>
      <w:r>
        <w:rPr/>
        <w:t xml:space="preserve">.  No representation or warranty by any Seller contained in this Agreement, nor any statement or certificate furnished or to be furnished by or on behalf of any Seller to Buyer or its representatives in connection herewith or pursuant hereto, contains or will contain any untrue statement of a material fact, or omits or will omit to state any material fact required to make the statements contained herein or therein not misleading.  </w:t>
      </w:r>
    </w:p>
    <w:p>
      <w:pPr>
        <w:pStyle w:val="Heading2"/>
        <w:numPr>
          <w:ilvl w:val="1"/>
          <w:numId w:val="12"/>
        </w:numPr>
        <w:ind w:hanging="0" w:start="0"/>
        <w:rPr/>
      </w:pPr>
      <w:r>
        <w:rPr>
          <w:u w:val="single"/>
        </w:rPr>
        <w:t>Operation of the Business</w:t>
      </w:r>
      <w:r>
        <w:fldChar w:fldCharType="begin"/>
      </w:r>
      <w:r>
        <w:rPr/>
        <w:instrText xml:space="preserve"> TC "Section 3.18</w:instrText>
        <w:tab/>
        <w:instrText xml:space="preserve">Operation of the Business</w:instrText>
        <w:tab/>
        <w:instrText xml:space="preserve"> </w:instrText>
        <w:tab/>
        <w:instrText xml:space="preserve">“\f C \l</w:instrText>
        <w:tab/>
        <w:instrText xml:space="preserve">“2" \l 1 </w:instrText>
      </w:r>
      <w:r>
        <w:rPr/>
        <w:fldChar w:fldCharType="separate"/>
      </w:r>
      <w:r>
        <w:rPr/>
      </w:r>
      <w:r>
        <w:rPr/>
        <w:fldChar w:fldCharType="end"/>
      </w:r>
      <w:bookmarkStart w:id="41" w:name="__RefHeading___Toc535051561"/>
      <w:bookmarkEnd w:id="41"/>
      <w:r>
        <w:rPr/>
        <w:t xml:space="preserve">.  Except as set forth on </w:t>
      </w:r>
      <w:r>
        <w:rPr>
          <w:u w:val="single"/>
        </w:rPr>
        <w:t>Schedule 3.18</w:t>
      </w:r>
      <w:r>
        <w:rPr/>
        <w:t>, during the third quarter of 2001, and at all times during the twelve months preceding the beginning of such period, the Business has been conducted solely within, has engaged in Business as relates solely to, and has no operations outside of, in each case other than with respect to trading with counterparties that may be located outside of, the United States and Canada.</w:t>
      </w:r>
    </w:p>
    <w:p>
      <w:pPr>
        <w:pStyle w:val="Heading2"/>
        <w:numPr>
          <w:ilvl w:val="1"/>
          <w:numId w:val="12"/>
        </w:numPr>
        <w:ind w:hanging="0" w:start="0"/>
        <w:rPr/>
      </w:pPr>
      <w:r>
        <w:rPr>
          <w:u w:val="single"/>
        </w:rPr>
        <w:t>Scope of Canadian Assets</w:t>
      </w:r>
      <w:r>
        <w:fldChar w:fldCharType="begin"/>
      </w:r>
      <w:r>
        <w:rPr/>
        <w:instrText xml:space="preserve"> TC "Section 3.19</w:instrText>
        <w:tab/>
        <w:instrText xml:space="preserve">Scope of Canadian Assets</w:instrText>
        <w:tab/>
        <w:instrText xml:space="preserve"> </w:instrText>
        <w:tab/>
        <w:instrText xml:space="preserve">“\f C \l</w:instrText>
        <w:tab/>
        <w:instrText xml:space="preserve">“2" \l 1 </w:instrText>
      </w:r>
      <w:r>
        <w:rPr/>
        <w:fldChar w:fldCharType="separate"/>
      </w:r>
      <w:r>
        <w:rPr/>
      </w:r>
      <w:r>
        <w:rPr/>
        <w:fldChar w:fldCharType="end"/>
      </w:r>
      <w:bookmarkStart w:id="42" w:name="__RefHeading___Toc535051562"/>
      <w:bookmarkEnd w:id="42"/>
      <w:r>
        <w:rPr/>
        <w:t xml:space="preserve">.  Set forth on </w:t>
      </w:r>
      <w:r>
        <w:rPr>
          <w:u w:val="single"/>
        </w:rPr>
        <w:t>Schedule 3.19</w:t>
      </w:r>
      <w:r>
        <w:rPr/>
        <w:t xml:space="preserve"> is (a) a list of all Employees employed in connection with the Canadian Assets, and (b) income statements setting forth the results of operations of the Canadian Assets for the year ended, and a balance sheet for the Canadian Assets as of, December 31, 2000, and income statements setting forth the results of operations of the Canadian Assets for the nine months ended, and a balance sheet for the Canadian Assets as of, September 30, 2001. </w:t>
      </w:r>
    </w:p>
    <w:p>
      <w:pPr>
        <w:pStyle w:val="Heading2"/>
        <w:numPr>
          <w:ilvl w:val="1"/>
          <w:numId w:val="12"/>
        </w:numPr>
        <w:ind w:hanging="0" w:start="0"/>
        <w:rPr/>
      </w:pPr>
      <w:r>
        <w:rPr>
          <w:u w:val="single"/>
        </w:rPr>
        <w:t>Intangible Property</w:t>
      </w:r>
      <w:r>
        <w:fldChar w:fldCharType="begin"/>
      </w:r>
      <w:r>
        <w:rPr/>
        <w:instrText xml:space="preserve"> TC "Section 3.20</w:instrText>
        <w:tab/>
        <w:instrText xml:space="preserve">Intangible Property</w:instrText>
        <w:tab/>
        <w:instrText xml:space="preserve"> </w:instrText>
        <w:tab/>
        <w:instrText xml:space="preserve">“\f C \l</w:instrText>
        <w:tab/>
        <w:instrText xml:space="preserve">“2" \l 1 </w:instrText>
      </w:r>
      <w:r>
        <w:rPr/>
        <w:fldChar w:fldCharType="separate"/>
      </w:r>
      <w:r>
        <w:rPr/>
      </w:r>
      <w:r>
        <w:rPr/>
        <w:fldChar w:fldCharType="end"/>
      </w:r>
      <w:bookmarkStart w:id="43" w:name="__RefHeading___Toc535051563"/>
      <w:bookmarkEnd w:id="43"/>
      <w:r>
        <w:rPr/>
        <w:t>.  None of the Business Intellectual Property (a) was owned, held or used at any time on or prior to January 1, 1998 by any of the Sellers or any person that was at any time an affiliate of, or related to, any of the Sellers, (b) was in existence in whole or in part on or prior to January 1, 1998, or (c) is, in whole or in part, an outgrowth of, based on or derived from a similar intangible asset that was held or used at any time on or prior to January 1, 1998 by any of the Sellers or any person that was at any time an affiliate of, or related to, any of the Sellers.</w:t>
      </w:r>
    </w:p>
    <w:p>
      <w:pPr>
        <w:pStyle w:val="Heading2"/>
        <w:numPr>
          <w:ilvl w:val="1"/>
          <w:numId w:val="12"/>
        </w:numPr>
        <w:ind w:hanging="0" w:start="0"/>
        <w:rPr>
          <w:lang w:eastAsia="en-US"/>
        </w:rPr>
      </w:pPr>
      <w:r>
        <w:rPr>
          <w:u w:val="single"/>
          <w:lang w:eastAsia="en-US"/>
        </w:rPr>
        <w:t>Residence of Sellers</w:t>
      </w:r>
      <w:r>
        <w:fldChar w:fldCharType="begin"/>
      </w:r>
      <w:r>
        <w:rPr/>
        <w:instrText xml:space="preserve"> TC "Section 3.21</w:instrText>
        <w:tab/>
        <w:instrText xml:space="preserve">Residence of Sellers</w:instrText>
        <w:tab/>
        <w:instrText xml:space="preserve"> </w:instrText>
        <w:tab/>
        <w:instrText xml:space="preserve">“\f C \l</w:instrText>
        <w:tab/>
        <w:instrText xml:space="preserve">“2" \l 1 </w:instrText>
      </w:r>
      <w:r>
        <w:rPr/>
        <w:fldChar w:fldCharType="separate"/>
      </w:r>
      <w:r>
        <w:rPr/>
      </w:r>
      <w:r>
        <w:rPr/>
        <w:fldChar w:fldCharType="end"/>
      </w:r>
      <w:bookmarkStart w:id="44" w:name="__RefHeading___Toc535051564"/>
      <w:bookmarkEnd w:id="44"/>
      <w:r>
        <w:rPr>
          <w:lang w:eastAsia="en-US"/>
        </w:rPr>
        <w:t xml:space="preserve">.  Each Seller of taxable Canadian property within the meaning of the </w:t>
      </w:r>
      <w:r>
        <w:rPr>
          <w:u w:val="single"/>
          <w:lang w:eastAsia="en-US"/>
        </w:rPr>
        <w:t>Income Tax Act</w:t>
      </w:r>
      <w:r>
        <w:rPr>
          <w:lang w:eastAsia="en-US"/>
        </w:rPr>
        <w:t xml:space="preserve"> (Canada) is not a non-resident of Canada within the meaning of the </w:t>
      </w:r>
      <w:r>
        <w:rPr>
          <w:u w:val="single"/>
          <w:lang w:eastAsia="en-US"/>
        </w:rPr>
        <w:t>Income Tax Act</w:t>
      </w:r>
      <w:r>
        <w:rPr>
          <w:lang w:eastAsia="en-US"/>
        </w:rPr>
        <w:t xml:space="preserve"> (Canada).</w:t>
      </w:r>
    </w:p>
    <w:p>
      <w:pPr>
        <w:pStyle w:val="Heading2"/>
        <w:numPr>
          <w:ilvl w:val="1"/>
          <w:numId w:val="12"/>
        </w:numPr>
        <w:ind w:hanging="0" w:start="0"/>
        <w:rPr/>
      </w:pPr>
      <w:r>
        <w:rPr>
          <w:u w:val="single"/>
        </w:rPr>
        <w:t>Confidentiality Agreements</w:t>
      </w:r>
      <w:r>
        <w:fldChar w:fldCharType="begin"/>
      </w:r>
      <w:r>
        <w:rPr/>
        <w:instrText xml:space="preserve"> TC "Section 3.22</w:instrText>
        <w:tab/>
        <w:instrText xml:space="preserve">Confidentiality Agreements</w:instrText>
        <w:tab/>
        <w:instrText xml:space="preserve"> </w:instrText>
        <w:tab/>
        <w:instrText xml:space="preserve">“\f C \l</w:instrText>
        <w:tab/>
        <w:instrText xml:space="preserve">“2" \l 1 </w:instrText>
      </w:r>
      <w:r>
        <w:rPr/>
        <w:fldChar w:fldCharType="separate"/>
      </w:r>
      <w:r>
        <w:rPr/>
      </w:r>
      <w:r>
        <w:rPr/>
        <w:fldChar w:fldCharType="end"/>
      </w:r>
      <w:bookmarkStart w:id="45" w:name="__RefHeading___Toc535051565"/>
      <w:bookmarkEnd w:id="45"/>
      <w:r>
        <w:rPr/>
        <w:t>.  Sellers and their Affiliates have entered into customary confidentiality, non-competition and non-solicitation agreements with each Person with which Sellers have conducted any discussions concerning, or which the Sellers or their Affiliates have allowed to conduct any material due diligence investigation of, or have any significant discussions with any key employees of, the Business in connection with, any proposed business combination transaction involving, or any sale of assets of, the Business, in each case on terms no less favorable to Sellers or any of their Affiliates than those contained in the similar agreements entered into between Sellers and Buyer.</w:t>
      </w:r>
    </w:p>
    <w:p>
      <w:pPr>
        <w:pStyle w:val="Heading1"/>
        <w:numPr>
          <w:ilvl w:val="0"/>
          <w:numId w:val="12"/>
        </w:numPr>
        <w:ind w:hanging="0" w:start="0"/>
        <w:rPr/>
      </w:pPr>
      <w:r>
        <w:rPr/>
        <w:br/>
        <w:br/>
        <w:t>Representations and Warranties of Buyer</w:t>
      </w:r>
      <w:r>
        <w:fldChar w:fldCharType="begin"/>
      </w:r>
      <w:r>
        <w:rPr/>
        <w:instrText xml:space="preserve"> TC "ARTICLE 4_x000b__x000b_Representations and Warranties of Buyer" \l 1 </w:instrText>
      </w:r>
      <w:r>
        <w:rPr/>
        <w:fldChar w:fldCharType="separate"/>
      </w:r>
      <w:r>
        <w:rPr/>
      </w:r>
      <w:r>
        <w:rPr/>
        <w:fldChar w:fldCharType="end"/>
      </w:r>
    </w:p>
    <w:p>
      <w:pPr>
        <w:pStyle w:val="BodyText"/>
        <w:rPr/>
      </w:pPr>
      <w:r>
        <w:rPr/>
        <w:t>Buyer hereby represents and warrants to Sellers as follows:</w:t>
      </w:r>
    </w:p>
    <w:p>
      <w:pPr>
        <w:pStyle w:val="Heading2"/>
        <w:numPr>
          <w:ilvl w:val="1"/>
          <w:numId w:val="12"/>
        </w:numPr>
        <w:ind w:hanging="0" w:start="0"/>
        <w:rPr/>
      </w:pPr>
      <w:r>
        <w:rPr>
          <w:u w:val="single"/>
        </w:rPr>
        <w:t>Incorporation; Authorization; Etc.</w:t>
      </w:r>
      <w:r>
        <w:fldChar w:fldCharType="begin"/>
      </w:r>
      <w:r>
        <w:rPr/>
        <w:instrText xml:space="preserve"> TC "Section 4.1</w:instrText>
        <w:tab/>
        <w:instrText xml:space="preserve">Incorporation; Authorization; Etc.</w:instrText>
        <w:tab/>
        <w:instrText xml:space="preserve">“ \f C \l “2" \l 1 </w:instrText>
      </w:r>
      <w:r>
        <w:rPr/>
        <w:fldChar w:fldCharType="separate"/>
      </w:r>
      <w:r>
        <w:rPr/>
      </w:r>
      <w:r>
        <w:rPr/>
        <w:fldChar w:fldCharType="end"/>
      </w:r>
      <w:bookmarkStart w:id="46" w:name="__RefHeading___Toc535051566"/>
      <w:bookmarkEnd w:id="46"/>
      <w:r>
        <w:rPr/>
        <w:t xml:space="preserve">  U.S. Buyer is duly formed, validly existing and in good standing under the laws of Delaware.  Canadian Buyer is duly formed and validly existing under the laws of the Nova Scotia.  U.S. Buyer has no equity interests in any entity other than Canadian Buyer.  Canadian Buyer has no equity interests in any entity.  Buyer has full power to execute and deliver this Agreement and to perform its obligations hereunder.  Buyer’s execution, delivery and performance of this Agreement will not (a) violate any provision of the charter or bylaws or similar organizational instrument of Buyer, or (b) violate or conflict with any statute, rule or regulation applicable to Buyer or any of its properties or assets or any other material restriction of any kind or character to which Buyer is subject that would prohibit or make unlawful the Asset Purchase.  Assuming the due execution hereof by Sellers, this Agreement will constitute the legal, valid and binding obligation of Buyer, enforceable against Buyer in accordance with its terms.  With such exceptions that would not, individually or in the aggregate, be reasonably likely to have a material adverse effect on the ability of Buyer to perform its obligations hereunder the execution and delivery of this Agreement does not, and the consummation of the transactions contemplated hereby and compliance with the provisions hereof will not conflict with, or result in any violation of, or default (with or without notice or lapse of time, or both) under, or give rise to a right of termination, cancellation, modification or acceleration of any obligation or to a loss of a benefit under, or result in the creation of any Encumbrance upon any of the properties or assets of Buyer under, any loan or credit agreement, note, bond, mortgage, indenture, lien, lease or any other contract, agreement, instrument, permit, commitment, concession, franchise or license applicable to any Buyer or its properties or assets.</w:t>
      </w:r>
    </w:p>
    <w:p>
      <w:pPr>
        <w:pStyle w:val="Heading2"/>
        <w:numPr>
          <w:ilvl w:val="1"/>
          <w:numId w:val="12"/>
        </w:numPr>
        <w:ind w:hanging="0" w:start="0"/>
        <w:rPr/>
      </w:pPr>
      <w:r>
        <w:rPr>
          <w:u w:val="single"/>
        </w:rPr>
        <w:t>Brokers, Finders, Etc.</w:t>
      </w:r>
      <w:r>
        <w:fldChar w:fldCharType="begin"/>
      </w:r>
      <w:r>
        <w:rPr/>
        <w:instrText xml:space="preserve"> TC "Section 4.2</w:instrText>
        <w:tab/>
        <w:instrText xml:space="preserve">Brokers, Finders, Etc.</w:instrText>
        <w:tab/>
        <w:instrText xml:space="preserve">“ \f C \l “2" \l 1 </w:instrText>
      </w:r>
      <w:r>
        <w:rPr/>
        <w:fldChar w:fldCharType="separate"/>
      </w:r>
      <w:r>
        <w:rPr/>
      </w:r>
      <w:r>
        <w:rPr/>
        <w:fldChar w:fldCharType="end"/>
      </w:r>
      <w:bookmarkStart w:id="47" w:name="__RefHeading___Toc535051567"/>
      <w:bookmarkEnd w:id="47"/>
      <w:r>
        <w:rPr/>
        <w:t xml:space="preserve">  No broker, investment banker, financial advisor or other Person is entitled to any broker’s, finder’s, financial advisor’s or other similar fee or commission from Sellers in connection with the transactions contemplated by this Agreement based upon arrangements made by or on behalf of Buyer.</w:t>
      </w:r>
    </w:p>
    <w:p>
      <w:pPr>
        <w:pStyle w:val="Heading1"/>
        <w:numPr>
          <w:ilvl w:val="0"/>
          <w:numId w:val="12"/>
        </w:numPr>
        <w:ind w:hanging="0" w:start="0"/>
        <w:rPr/>
      </w:pPr>
      <w:r>
        <w:rPr/>
        <w:br/>
        <w:br/>
        <w:t>Covenants of Sellers and Buyer</w:t>
      </w:r>
      <w:r>
        <w:fldChar w:fldCharType="begin"/>
      </w:r>
      <w:r>
        <w:rPr/>
        <w:instrText xml:space="preserve"> TC "ARTICLE 5_x000b__x000b_Covenants of Sellers and Buyer" \l 1 </w:instrText>
      </w:r>
      <w:r>
        <w:rPr/>
        <w:fldChar w:fldCharType="separate"/>
      </w:r>
      <w:r>
        <w:rPr/>
      </w:r>
      <w:r>
        <w:rPr/>
        <w:fldChar w:fldCharType="end"/>
      </w:r>
    </w:p>
    <w:p>
      <w:pPr>
        <w:pStyle w:val="Heading2"/>
        <w:numPr>
          <w:ilvl w:val="1"/>
          <w:numId w:val="12"/>
        </w:numPr>
        <w:ind w:hanging="0" w:start="0"/>
        <w:rPr/>
      </w:pPr>
      <w:r>
        <w:rPr>
          <w:u w:val="single"/>
        </w:rPr>
        <w:t>Conduct of Business</w:t>
      </w:r>
      <w:r>
        <w:rPr/>
        <w:t>.</w:t>
      </w:r>
      <w:r>
        <w:fldChar w:fldCharType="begin"/>
      </w:r>
      <w:r>
        <w:rPr/>
        <w:instrText xml:space="preserve"> TC "Section 5.1</w:instrText>
        <w:tab/>
        <w:instrText xml:space="preserve">Conduct of Business</w:instrText>
        <w:tab/>
        <w:instrText xml:space="preserve"> </w:instrText>
        <w:tab/>
        <w:instrText xml:space="preserve">“\f C \l</w:instrText>
        <w:tab/>
        <w:instrText xml:space="preserve">“2" \l 1 </w:instrText>
      </w:r>
      <w:r>
        <w:rPr/>
        <w:fldChar w:fldCharType="separate"/>
      </w:r>
      <w:r>
        <w:rPr/>
      </w:r>
      <w:r>
        <w:rPr/>
        <w:fldChar w:fldCharType="end"/>
      </w:r>
      <w:bookmarkStart w:id="48" w:name="__RefHeading___Toc535051568"/>
      <w:bookmarkEnd w:id="48"/>
      <w:r>
        <w:rPr/>
        <w:t xml:space="preserve">  During the period from the date hereof to and through the Closing Date, except as expressly provided in this Agreement, Sellers shall use commercially reasonable efforts to preserve the Assets and the Business intact, keep available the services of current officers and employees, and preserve the good will of and relationships with customers, suppliers, licensors, licensees, distributors and others having business dealings with the Business, subject to the limitations imposed on the Filing Sellers prior to the date hereof as a result of having filed petitions for relief under the Bankruptcy Code.  Without limiting the generality of the foregoing, during the period from the date of this Agreement to and through the Closing Date, except as disclosed on </w:t>
      </w:r>
      <w:r>
        <w:rPr>
          <w:u w:val="single"/>
        </w:rPr>
        <w:t>Schedule 5.1</w:t>
      </w:r>
      <w:r>
        <w:rPr/>
        <w:t>, Sellers shall not, without the prior written approval of Buyer (to the extent permitted by law), to the extent involving or relating to the Business or the Assets:</w:t>
      </w:r>
    </w:p>
    <w:p>
      <w:pPr>
        <w:pStyle w:val="Heading3"/>
        <w:numPr>
          <w:ilvl w:val="2"/>
          <w:numId w:val="12"/>
        </w:numPr>
        <w:ind w:hanging="0" w:start="0"/>
        <w:rPr/>
      </w:pPr>
      <w:r>
        <w:rPr/>
        <w:t>except in the ordinary course of business consistent with past practice with respect to immaterial assets or pursuant to existing contracts or commitments, sell, lease, license, transfer, encumber or otherwise dispose of any Assets, or waive, amend or make any binding interpretation of any existing contract or commitment relating to the same;</w:t>
      </w:r>
    </w:p>
    <w:p>
      <w:pPr>
        <w:pStyle w:val="Heading3"/>
        <w:numPr>
          <w:ilvl w:val="2"/>
          <w:numId w:val="12"/>
        </w:numPr>
        <w:ind w:hanging="0" w:start="0"/>
        <w:rPr/>
      </w:pPr>
      <w:r>
        <w:rPr/>
        <w:t xml:space="preserve"> </w:t>
      </w:r>
      <w:r>
        <w:rPr/>
        <w:t>(i) other than as would not reduce the value of any Asset or result in any Liability that would be or increase any Assumed Liability as of or subsequent to the Closing, modify, amend or terminate any material contract or agreement to which it is a party (including any lease), or (ii) release or waive any material rights or claims, or waive the benefits of, or agree to modify in any manner, any non-competition, confidentiality, non-solicit, standstill or similar agreement to which Sellers or any of their Affiliates is a party;</w:t>
      </w:r>
    </w:p>
    <w:p>
      <w:pPr>
        <w:pStyle w:val="Heading3"/>
        <w:numPr>
          <w:ilvl w:val="2"/>
          <w:numId w:val="12"/>
        </w:numPr>
        <w:ind w:hanging="0" w:start="0"/>
        <w:rPr/>
      </w:pPr>
      <w:r>
        <w:rPr/>
        <w:t>(i)  grant any increases in the compensation of any of its directors, officers or employees, (ii) pay or award or agree to pay or award any pension, retirement allowance, or other nonequity incentive awards, or other employee benefit, not required by any outstanding Employee Benefit Plans to any current or former director, officer or employees, whether past or present, or to any other Person, (iii) enter into any new or amend any existing Employment Agreement or consulting agreement, (iv) other than as would not impair the value of any Asset or result in any Liability that would be or increase any Assumed Liability, enter into any agreement or exercise any discretion providing for acceleration of payment or performance as a result of a sale of the Business, or (v) become obligated under any new Employee Benefit Plan in connection with the Business, which was not in existence on the date hereof or amend or exercise discretion pursuant to any such Employee Benefit Plan in connection with the Business in existence on the date hereof;</w:t>
      </w:r>
    </w:p>
    <w:p>
      <w:pPr>
        <w:pStyle w:val="Heading3"/>
        <w:numPr>
          <w:ilvl w:val="2"/>
          <w:numId w:val="12"/>
        </w:numPr>
        <w:ind w:hanging="0" w:start="0"/>
        <w:rPr/>
      </w:pPr>
      <w:r>
        <w:rPr/>
        <w:t>enter into any agreement containing any provision or covenant that would limit in any way the ability of Buyer to (i) sell any products or services of or to any other Person, (ii) engage in any line of business or (iii) compete with or to obtain products or services from any Person or limiting the ability of any Person to provide products or services to the Business;</w:t>
      </w:r>
    </w:p>
    <w:p>
      <w:pPr>
        <w:pStyle w:val="Heading3"/>
        <w:numPr>
          <w:ilvl w:val="2"/>
          <w:numId w:val="12"/>
        </w:numPr>
        <w:ind w:hanging="0" w:start="0"/>
        <w:rPr/>
      </w:pPr>
      <w:r>
        <w:rPr/>
        <w:t>enter into any Third Party License;</w:t>
      </w:r>
    </w:p>
    <w:p>
      <w:pPr>
        <w:pStyle w:val="Heading3"/>
        <w:numPr>
          <w:ilvl w:val="2"/>
          <w:numId w:val="12"/>
        </w:numPr>
        <w:ind w:hanging="0" w:start="0"/>
        <w:rPr/>
      </w:pPr>
      <w:r>
        <w:rPr/>
        <w:t xml:space="preserve"> </w:t>
      </w:r>
      <w:r>
        <w:rPr/>
        <w:t>(i)  take or agree or commit to take any action that would cause any condition set forth in Article 8 to not be satisfied or (ii) omit or agree or commit to omit to take any action necessary to prevent any condition set forth in Article 8 hereof from being satisfied ;</w:t>
      </w:r>
    </w:p>
    <w:p>
      <w:pPr>
        <w:pStyle w:val="Heading3"/>
        <w:numPr>
          <w:ilvl w:val="2"/>
          <w:numId w:val="12"/>
        </w:numPr>
        <w:ind w:hanging="0" w:start="0"/>
        <w:rPr/>
      </w:pPr>
      <w:r>
        <w:rPr/>
        <w:t xml:space="preserve">fail to pay any premiums when due with respect to any of the insurance policies set forth in </w:t>
      </w:r>
      <w:r>
        <w:rPr>
          <w:u w:val="single"/>
        </w:rPr>
        <w:t>Schedule 2.1(j)(i)</w:t>
      </w:r>
      <w:r>
        <w:rPr/>
        <w:t>; or</w:t>
      </w:r>
    </w:p>
    <w:p>
      <w:pPr>
        <w:pStyle w:val="Heading3"/>
        <w:numPr>
          <w:ilvl w:val="2"/>
          <w:numId w:val="12"/>
        </w:numPr>
        <w:ind w:hanging="0" w:start="0"/>
        <w:rPr/>
      </w:pPr>
      <w:r>
        <w:rPr/>
        <w:t>authorize any of, or commit or agree to take any of, the foregoing actions.</w:t>
      </w:r>
    </w:p>
    <w:p>
      <w:pPr>
        <w:pStyle w:val="Heading2"/>
        <w:numPr>
          <w:ilvl w:val="1"/>
          <w:numId w:val="12"/>
        </w:numPr>
        <w:ind w:hanging="0" w:start="0"/>
        <w:rPr/>
      </w:pPr>
      <w:r>
        <w:rPr>
          <w:u w:val="single"/>
        </w:rPr>
        <w:t>Access to Information</w:t>
      </w:r>
      <w:r>
        <w:rPr/>
        <w:t>.</w:t>
      </w:r>
      <w:r>
        <w:fldChar w:fldCharType="begin"/>
      </w:r>
      <w:r>
        <w:rPr/>
        <w:instrText xml:space="preserve"> TC "Section 5.2</w:instrText>
        <w:tab/>
        <w:instrText xml:space="preserve">Access to Information</w:instrText>
        <w:tab/>
        <w:instrText xml:space="preserve"> </w:instrText>
        <w:tab/>
        <w:instrText xml:space="preserve">“\f C \l</w:instrText>
        <w:tab/>
        <w:instrText xml:space="preserve">“2" \l 1 </w:instrText>
      </w:r>
      <w:r>
        <w:rPr/>
        <w:fldChar w:fldCharType="separate"/>
      </w:r>
      <w:r>
        <w:rPr/>
      </w:r>
      <w:r>
        <w:rPr/>
        <w:fldChar w:fldCharType="end"/>
      </w:r>
      <w:bookmarkStart w:id="49" w:name="__RefHeading___Toc535051569"/>
      <w:bookmarkEnd w:id="49"/>
      <w:r>
        <w:rPr/>
        <w:t xml:space="preserve">  (a)  Subject to Applicable Law, from the date hereof to and through the Closing Date, Sellers shall give Buyer, its counsel, financial advisors, auditors and other authorized representatives full access (during normal business hours and upon reasonable notice) to the offices, properties, officers, employees, accountants, auditors, counsel and other representatives, books and records of Sellers and their Affiliates relating to the Business, the Assets, and the Assumed Liabilities, will furnish to Buyer, its counsel, financial advisors, auditors and other authorized representatives such financial, operating and property related data and other information as such persons may request, and will instruct Sellers’ and their Affiliates’ employees, counsel and financial advisors to cooperate with Buyer in its investigation of the Business; </w:t>
      </w:r>
      <w:r>
        <w:rPr>
          <w:u w:val="single"/>
        </w:rPr>
        <w:t>provided</w:t>
      </w:r>
      <w:r>
        <w:rPr/>
        <w:t xml:space="preserve"> that no investigation pursuant to this Section 5.2 shall affect any representation or warranty given by Sellers hereunder.  Without limiting the foregoing, the access and information to be afforded to Buyer pursuant to the immediately preceding sentence shall include all such access and information as may be necessary or desirable from time to time to enable Buyer to determine promptly whether the termination rights referred to in Section 12.1(e) will be or are available to Buyer.  </w:t>
      </w:r>
    </w:p>
    <w:p>
      <w:pPr>
        <w:pStyle w:val="Heading3"/>
        <w:numPr>
          <w:ilvl w:val="2"/>
          <w:numId w:val="12"/>
        </w:numPr>
        <w:ind w:hanging="0" w:start="0"/>
        <w:rPr/>
      </w:pPr>
      <w:r>
        <w:rPr/>
        <w:t xml:space="preserve">From the Closing Date through the date the Bankruptcy Cases are closed, Buyer shall give to Sellers’ Representative, its counsel, financial advisors, auditors and other authorized representatives full access (during normal business hours and upon reasonable notice) to the books and records of the Business to the extent such books and records relate to periods prior to the Closing Date, and will furnish to Sellers’ Representative, its counsel, financial advisors, auditors and other authorized representatives such financial, operating and property-related data and other information relating to the Business, and relating solely to periods prior to the Closing Date, as may be necessary for administration of the Bankruptcy Cases.  Information obtained in accordance with this paragraph (b) shall be held in confidence in accordance with Section 5.9.  </w:t>
      </w:r>
    </w:p>
    <w:p>
      <w:pPr>
        <w:pStyle w:val="Heading3"/>
        <w:numPr>
          <w:ilvl w:val="2"/>
          <w:numId w:val="12"/>
        </w:numPr>
        <w:ind w:hanging="0" w:start="0"/>
        <w:rPr/>
      </w:pPr>
      <w:r>
        <w:rPr/>
        <w:t xml:space="preserve">From the date hereof to the Closing Date, Sellers shall deliver to Buyer:  </w:t>
      </w:r>
    </w:p>
    <w:p>
      <w:pPr>
        <w:pStyle w:val="Heading4"/>
        <w:numPr>
          <w:ilvl w:val="3"/>
          <w:numId w:val="12"/>
        </w:numPr>
        <w:ind w:hanging="0" w:start="0"/>
        <w:rPr/>
      </w:pPr>
      <w:r>
        <w:rPr/>
        <w:t xml:space="preserve">promptly upon receipt, notification of any non-renewal, cancellation, termination, revocation, suspension, impairment or material modification of, or of any hearing, proceeding or investigation regarding, any material License held by any Seller or its Affiliates and involving, relating to or affecting the Business; and </w:t>
      </w:r>
    </w:p>
    <w:p>
      <w:pPr>
        <w:pStyle w:val="Heading4"/>
        <w:numPr>
          <w:ilvl w:val="3"/>
          <w:numId w:val="12"/>
        </w:numPr>
        <w:ind w:hanging="0" w:start="0"/>
        <w:rPr/>
      </w:pPr>
      <w:r>
        <w:rPr/>
        <w:t>with reasonable promptness, such other reports, information and data with respect to Sellers or any of their Affiliates involving, relating to or affecting the Business as from time to time may be reasonably requested by Buyer (including with respect to Employees).</w:t>
      </w:r>
    </w:p>
    <w:p>
      <w:pPr>
        <w:pStyle w:val="Heading2"/>
        <w:numPr>
          <w:ilvl w:val="1"/>
          <w:numId w:val="12"/>
        </w:numPr>
        <w:ind w:hanging="0" w:start="0"/>
        <w:rPr/>
      </w:pPr>
      <w:r>
        <w:rPr>
          <w:u w:val="single"/>
        </w:rPr>
        <w:t>Regulatory Approvals; Reasonable Best Efforts; Notification; Consents</w:t>
      </w:r>
      <w:r>
        <w:rPr/>
        <w:t>.</w:t>
      </w:r>
      <w:r>
        <w:fldChar w:fldCharType="begin"/>
      </w:r>
      <w:r>
        <w:rPr/>
        <w:instrText xml:space="preserve"> TC "Section 5.3</w:instrText>
        <w:tab/>
        <w:instrText xml:space="preserve">Regulatory Approvals; Reasonable Best Efforts; Notification; Consents</w:instrText>
        <w:tab/>
        <w:instrText xml:space="preserve"> </w:instrText>
        <w:tab/>
        <w:instrText xml:space="preserve">“\f C \l</w:instrText>
        <w:tab/>
        <w:instrText xml:space="preserve">“2" \l 1 </w:instrText>
      </w:r>
      <w:r>
        <w:rPr/>
        <w:fldChar w:fldCharType="separate"/>
      </w:r>
      <w:r>
        <w:rPr/>
      </w:r>
      <w:r>
        <w:rPr/>
        <w:fldChar w:fldCharType="end"/>
      </w:r>
      <w:bookmarkStart w:id="50" w:name="__RefHeading___Toc535051570"/>
      <w:bookmarkEnd w:id="50"/>
      <w:r>
        <w:rPr/>
        <w:t xml:space="preserve">  (a)  Each of Buyer and each Seller shall (i) promptly make or cause to be made any filings required of such party or any of its subsidiaries by any Governmental Authority, (ii) comply at the earliest practicable date with any request for additional information, documents, or other material received by such party or any of its subsidiaries from any Governmental Authority in respect of such filings or such transactions, and (iii) cooperate with the other party in connection with any such filing, and in connection with resolving any investigation or other inquiry of any such agency or other Governmental Authority under the Antitrust Laws.  Each party shall promptly inform the other party of any communication with, and any proposed understanding, undertaking, or agreement with any Governmental Authority regarding any such filings or any such transaction.  Neither party shall participate in any meeting with any Governmental Authority in respect of any such filings, investigation or other inquiry without giving the other party notice of the meeting and, to the extent permitted by such Governmental Authority, the opportunity to attend and participate.</w:t>
      </w:r>
    </w:p>
    <w:p>
      <w:pPr>
        <w:pStyle w:val="Heading3"/>
        <w:numPr>
          <w:ilvl w:val="2"/>
          <w:numId w:val="12"/>
        </w:numPr>
        <w:ind w:hanging="0" w:start="0"/>
        <w:rPr/>
      </w:pPr>
      <w:r>
        <w:rPr/>
        <w:t>Each of Buyer and each Seller shall use reasonable best efforts to take such action as may be required to cause the expiration of the notice periods under any state statutes, rules, regulations, orders or decrees that are designed to prohibit, restrict or regulate actions having the purpose or effect of monopolization or restraint of trade with respect to the transactions contemplated hereby as promptly as possible after the execution of this Agreement.</w:t>
      </w:r>
    </w:p>
    <w:p>
      <w:pPr>
        <w:pStyle w:val="Heading3"/>
        <w:numPr>
          <w:ilvl w:val="2"/>
          <w:numId w:val="12"/>
        </w:numPr>
        <w:ind w:hanging="0" w:start="0"/>
        <w:rPr/>
      </w:pPr>
      <w:r>
        <w:rPr/>
        <w:t>Each of the parties agrees to use reasonable best efforts to take, or cause to be taken, all actions, and to do, or cause to be done, and to assist and cooperate with the other parties in doing, all things necessary, proper or advisable to consummate and make effective, in the most expeditious manner practicable, the Asset Purchase and the other transactions contemplated by this Agreement, including (i) the obtaining of all other necessary actions or nonactions, waivers, Consents and approvals from Governmental Authorities and the making of all other necessary registrations and filings (including other filings with Governmental Authorities, if any), (ii) the obtaining of all necessary Consents, approvals or waivers from third parties, (iii) the preparation of any and all petitions, filings, notices, motions, certificates as may be necessary or desirable in connection with the Bankruptcy Cases or the Canadian Proceedings (including with respect to the granting of the Vesting Order), and (iv) the execution and delivery of any additional certificates, agreements, instruments, reports, schedules, statements, consents, documents and information necessary to consummate the transactions contemplated by, and to fully carry out the purposes of, this Agreement.  Each of the parties hereto acknowledges and agrees that the Asset Purchase and the other transactions contemplated by this Agreement may be consummated and made effective as early as, and will use reasonable best efforts to cause the Asset Purchase and the other transactions contemplated by this Agreement to be consummated and made effective as of, January 22, 2002.</w:t>
      </w:r>
    </w:p>
    <w:p>
      <w:pPr>
        <w:pStyle w:val="Heading3"/>
        <w:numPr>
          <w:ilvl w:val="2"/>
          <w:numId w:val="12"/>
        </w:numPr>
        <w:ind w:hanging="0" w:start="0"/>
        <w:rPr/>
      </w:pPr>
      <w:r>
        <w:rPr/>
        <w:t>Notwithstanding anything to the contrary in Section 5.2(a), (b) or (c), (i) neither Buyer nor any of its Affiliates shall be required to divest any of its businesses, product lines or assets, or any of the Assets, or to agree to any limitation on the operation or conduct of the Business, and (ii) Buyer shall not be required to waive any of the conditions to this Agreement set forth in Article 8.</w:t>
      </w:r>
    </w:p>
    <w:p>
      <w:pPr>
        <w:pStyle w:val="Heading3"/>
        <w:numPr>
          <w:ilvl w:val="2"/>
          <w:numId w:val="12"/>
        </w:numPr>
        <w:ind w:hanging="0" w:start="0"/>
        <w:rPr/>
      </w:pPr>
      <w:r>
        <w:rPr/>
        <w:t xml:space="preserve">Sellers agree to use reasonable best efforts to transfer all Permits to Buyer, if transferable, and to reasonably cooperate with Buyer in Buyer’s efforts to obtain for Buyer such other licenses or permits as Buyer may need to conduct the Business.  If any of the Permits are not transferable without obtaining a replacement Permit, Sellers shall reasonably cooperate with Buyer to obtain replacement Permits issued in Buyer’s name in order that Buyer may operate the Business at Closing as operated by Sellers during the third quarter of 2001.  </w:t>
      </w:r>
    </w:p>
    <w:p>
      <w:pPr>
        <w:pStyle w:val="Heading3"/>
        <w:numPr>
          <w:ilvl w:val="2"/>
          <w:numId w:val="12"/>
        </w:numPr>
        <w:ind w:hanging="0" w:start="0"/>
        <w:rPr/>
      </w:pPr>
      <w:r>
        <w:rPr/>
        <w:t xml:space="preserve">Sellers shall give prompt notice to Buyer of (i) any representation or warranty made by any of the Sellers contained in this Agreement becoming untrue or inaccurate in any material respect or (ii) the failure by any of the Sellers to comply with or satisfy in any material respect any covenant, condition or agreement to be complied with or satisfied by it under this Agreement; </w:t>
      </w:r>
      <w:r>
        <w:rPr>
          <w:u w:val="single"/>
        </w:rPr>
        <w:t>provided</w:t>
      </w:r>
      <w:r>
        <w:rPr/>
        <w:t xml:space="preserve">, </w:t>
      </w:r>
      <w:r>
        <w:rPr>
          <w:u w:val="single"/>
        </w:rPr>
        <w:t>however</w:t>
      </w:r>
      <w:r>
        <w:rPr/>
        <w:t xml:space="preserve">, that no such notification shall affect the representations, warranties, covenants or agreements of the parties or the conditions to the obligations of the parties under this Agreement.  Buyer shall give prompt notice to Enron of (A) any representation or warranty made by Buyer contained in this Agreement becoming untrue or inaccurate in any material respect or (B) the failure by it to comply with or satisfy in any material respect any covenant, condition or agreement to be complied with or satisfied by it under this Agreement; </w:t>
      </w:r>
      <w:r>
        <w:rPr>
          <w:u w:val="single"/>
        </w:rPr>
        <w:t>provided</w:t>
      </w:r>
      <w:r>
        <w:rPr/>
        <w:t xml:space="preserve">, </w:t>
      </w:r>
      <w:r>
        <w:rPr>
          <w:u w:val="single"/>
        </w:rPr>
        <w:t>however</w:t>
      </w:r>
      <w:r>
        <w:rPr/>
        <w:t>, that no such notification shall affect the representations, warranties, covenants or agreements of the parties or the conditions to the obligations of the parties under this Agreement.</w:t>
      </w:r>
    </w:p>
    <w:p>
      <w:pPr>
        <w:pStyle w:val="Heading3"/>
        <w:numPr>
          <w:ilvl w:val="2"/>
          <w:numId w:val="12"/>
        </w:numPr>
        <w:ind w:hanging="0" w:start="0"/>
        <w:rPr/>
      </w:pPr>
      <w:r>
        <w:rPr/>
        <w:t>Sellers shall give prompt notice to Buyer, and Buyer shall give prompt notice to Enron, of:</w:t>
      </w:r>
    </w:p>
    <w:p>
      <w:pPr>
        <w:pStyle w:val="Heading4"/>
        <w:numPr>
          <w:ilvl w:val="3"/>
          <w:numId w:val="12"/>
        </w:numPr>
        <w:ind w:hanging="0" w:start="0"/>
        <w:rPr/>
      </w:pPr>
      <w:r>
        <w:rPr/>
        <w:t>any notice or other communication from any Person alleging that the Consent of such Person is or may be required in connection with the transactions contemplated by this Agreement;</w:t>
      </w:r>
    </w:p>
    <w:p>
      <w:pPr>
        <w:pStyle w:val="Heading4"/>
        <w:numPr>
          <w:ilvl w:val="3"/>
          <w:numId w:val="12"/>
        </w:numPr>
        <w:ind w:hanging="0" w:start="0"/>
        <w:rPr/>
      </w:pPr>
      <w:r>
        <w:rPr/>
        <w:t>any notice or other communication from any Governmental Authority in connection with the transactions contemplated by this Agreement; and</w:t>
      </w:r>
    </w:p>
    <w:p>
      <w:pPr>
        <w:pStyle w:val="Heading4"/>
        <w:numPr>
          <w:ilvl w:val="3"/>
          <w:numId w:val="12"/>
        </w:numPr>
        <w:ind w:hanging="0" w:start="0"/>
        <w:rPr/>
      </w:pPr>
      <w:r>
        <w:rPr/>
        <w:t>any Actions, suits, claims, investigations or proceedings commenced or, to such party’s knowledge threatened against, relating to or involving or otherwise affecting the Business, the Assets or the Assumed Liabilities which, if pending on the date of this Agreement, would have been required to have been disclosed pursuant to any provision of Article 3 or which relate to the consummation of the transactions contemplated by this Agreement.</w:t>
      </w:r>
    </w:p>
    <w:p>
      <w:pPr>
        <w:pStyle w:val="Heading2"/>
        <w:numPr>
          <w:ilvl w:val="1"/>
          <w:numId w:val="12"/>
        </w:numPr>
        <w:ind w:hanging="0" w:start="0"/>
        <w:rPr/>
      </w:pPr>
      <w:r>
        <w:rPr>
          <w:u w:val="single"/>
        </w:rPr>
        <w:t>Bankruptcy Filings, Covenants and Agreements</w:t>
      </w:r>
      <w:r>
        <w:rPr/>
        <w:t>.</w:t>
      </w:r>
      <w:r>
        <w:fldChar w:fldCharType="begin"/>
      </w:r>
      <w:r>
        <w:rPr/>
        <w:instrText xml:space="preserve"> TC "Section 5.4</w:instrText>
        <w:tab/>
        <w:instrText xml:space="preserve">Bankruptcy Filings, Covenants and Agreements</w:instrText>
        <w:tab/>
        <w:instrText xml:space="preserve"> </w:instrText>
        <w:tab/>
        <w:instrText xml:space="preserve">“\f C \l</w:instrText>
        <w:tab/>
        <w:instrText xml:space="preserve">“2" \l 1 </w:instrText>
      </w:r>
      <w:r>
        <w:rPr/>
        <w:fldChar w:fldCharType="separate"/>
      </w:r>
      <w:r>
        <w:rPr/>
      </w:r>
      <w:r>
        <w:rPr/>
        <w:fldChar w:fldCharType="end"/>
      </w:r>
      <w:bookmarkStart w:id="51" w:name="__RefHeading___Toc535051571"/>
      <w:bookmarkEnd w:id="51"/>
      <w:r>
        <w:rPr/>
        <w:t xml:space="preserve">  </w:t>
      </w:r>
    </w:p>
    <w:p>
      <w:pPr>
        <w:pStyle w:val="Heading3"/>
        <w:numPr>
          <w:ilvl w:val="2"/>
          <w:numId w:val="12"/>
        </w:numPr>
        <w:ind w:hanging="0" w:start="0"/>
        <w:rPr/>
      </w:pPr>
      <w:r>
        <w:rPr/>
        <w:t>Buyer agrees that it will promptly take such actions as are reasonably requested by Filing Sellers, on behalf of the Filing Sellers, to assist in obtaining Bankruptcy Court Approval and the order referred to in Section 8.4(c) as expeditiously as possible and making each a Final Order, including furnishing affidavits or other documents or information for filing with the Bankruptcy Court for purposes, among others, of providing necessary assurances of performance by Buyer under the Agreements and demonstrating that Buyer is a “good faith” purchaser under section 363(m) of the Bankruptcy Code, and requesting that any notice period relating to Buyer’s assumption of the Assumed Contracts be shortened.  In the event the order granting Bankruptcy Court Approval or the order referred to in Section 8.4(c) shall be appealed, Filing Sellers shall use reasonable best efforts to defend such appeal.</w:t>
      </w:r>
    </w:p>
    <w:p>
      <w:pPr>
        <w:pStyle w:val="Heading3"/>
        <w:numPr>
          <w:ilvl w:val="2"/>
          <w:numId w:val="12"/>
        </w:numPr>
        <w:ind w:hanging="0" w:start="0"/>
        <w:rPr/>
      </w:pPr>
      <w:r>
        <w:rPr/>
        <w:t xml:space="preserve">Sellers agree that prior to the earlier of the Closing or the termination of this Agreement in accordance with its terms, none of them or any of their officers, directors, employees, attorneys, investment bankers, accountants or other agents or representatives shall solicit any inquiries, proposals, offers or bids from, or negotiate or enter into any agreement with, any Person or entity other than Buyer relating to the sale, transfer or other disposition of all or any portion of Assets or the Business or otherwise take any affirmative action (including entering into any agreement or letter-of-intent with respect thereto) to cause, promote or assist the purchase of the Assets or Business by a third party.  </w:t>
      </w:r>
    </w:p>
    <w:p>
      <w:pPr>
        <w:pStyle w:val="Heading2"/>
        <w:numPr>
          <w:ilvl w:val="1"/>
          <w:numId w:val="12"/>
        </w:numPr>
        <w:ind w:hanging="0" w:start="0"/>
        <w:rPr/>
      </w:pPr>
      <w:r>
        <w:rPr>
          <w:u w:val="single"/>
        </w:rPr>
        <w:t>Public Announcements</w:t>
      </w:r>
      <w:r>
        <w:rPr/>
        <w:t>.</w:t>
      </w:r>
      <w:r>
        <w:fldChar w:fldCharType="begin"/>
      </w:r>
      <w:r>
        <w:rPr/>
        <w:instrText xml:space="preserve"> TC "Section 5.5</w:instrText>
        <w:tab/>
        <w:instrText xml:space="preserve">Public Announcements</w:instrText>
        <w:tab/>
        <w:instrText xml:space="preserve"> </w:instrText>
        <w:tab/>
        <w:instrText xml:space="preserve">“\f C \l</w:instrText>
        <w:tab/>
        <w:instrText xml:space="preserve">“2" \l 1 </w:instrText>
      </w:r>
      <w:r>
        <w:rPr/>
        <w:fldChar w:fldCharType="separate"/>
      </w:r>
      <w:r>
        <w:rPr/>
      </w:r>
      <w:r>
        <w:rPr/>
        <w:fldChar w:fldCharType="end"/>
      </w:r>
      <w:bookmarkStart w:id="52" w:name="__RefHeading___Toc535051572"/>
      <w:bookmarkEnd w:id="52"/>
      <w:r>
        <w:rPr/>
        <w:t xml:space="preserve">  Buyer and Sellers will consult with each other before issuing, and provide each other the opportunity to review and comment upon, any press release, court filing or pleading or other public statements with respect to the transactions contemplated by this Agreement, including the Asset Purchase, the Bankruptcy Cases and the Canadian Proceedings, and shall not issue any such press release or make any such public statement prior to such consultation and, in the case of statements by Sellers, without the prior approval of Buyer, in each case except as may be required by Applicable Law, court process or by obligations pursuant to any listing agreement with any national securities exchange or with the New York Stock Exchange.  The parties agree that the initial press release to be issued with respect to the transactions contemplated by this Agreement will be in the form previously agreed to by the parties.  Buyer and each Seller shall cause its employees, officers and directors to comply with this Section 5.5.</w:t>
      </w:r>
    </w:p>
    <w:p>
      <w:pPr>
        <w:pStyle w:val="Heading2"/>
        <w:numPr>
          <w:ilvl w:val="1"/>
          <w:numId w:val="12"/>
        </w:numPr>
        <w:ind w:hanging="0" w:start="0"/>
        <w:rPr/>
      </w:pPr>
      <w:r>
        <w:rPr>
          <w:u w:val="single"/>
        </w:rPr>
        <w:t>Further Assurances</w:t>
      </w:r>
      <w:r>
        <w:fldChar w:fldCharType="begin"/>
      </w:r>
      <w:r>
        <w:rPr/>
        <w:instrText xml:space="preserve"> TC "Section 5.6</w:instrText>
        <w:tab/>
        <w:instrText xml:space="preserve">Further Assurances</w:instrText>
        <w:tab/>
        <w:instrText xml:space="preserve">“ \f C \l “2" \l 1 </w:instrText>
      </w:r>
      <w:r>
        <w:rPr/>
        <w:fldChar w:fldCharType="separate"/>
      </w:r>
      <w:r>
        <w:rPr/>
      </w:r>
      <w:r>
        <w:rPr/>
        <w:fldChar w:fldCharType="end"/>
      </w:r>
      <w:bookmarkStart w:id="53" w:name="__RefHeading___Toc535051573"/>
      <w:bookmarkEnd w:id="53"/>
      <w:r>
        <w:rPr/>
        <w:t>.  Sellers and Buyer agree that, from time to time, whether before, at or after the Closing Date, each of them will, and will cause their respective Affiliates to, execute and deliver such further instruments of conveyance and transfer and take such other action as may be necessary to carry out the purposes and intents hereof.  Sellers further agree that they will exercise their reasonable best efforts to prevent their respective Affiliates from entering into any transaction that could reasonably be expected to frustrate the purposes of this Agreement or the benefits to be derived herefrom by Buyer.</w:t>
      </w:r>
    </w:p>
    <w:p>
      <w:pPr>
        <w:pStyle w:val="Heading2"/>
        <w:numPr>
          <w:ilvl w:val="1"/>
          <w:numId w:val="12"/>
        </w:numPr>
        <w:ind w:hanging="0" w:start="0"/>
        <w:rPr/>
      </w:pPr>
      <w:r>
        <w:rPr>
          <w:u w:val="single"/>
        </w:rPr>
        <w:t>Ancillary Agreements</w:t>
      </w:r>
      <w:r>
        <w:fldChar w:fldCharType="begin"/>
      </w:r>
      <w:r>
        <w:rPr/>
        <w:instrText xml:space="preserve"> TC "Section 5.7</w:instrText>
        <w:tab/>
        <w:instrText xml:space="preserve">Ancillary Agreements</w:instrText>
        <w:tab/>
        <w:instrText xml:space="preserve">“ \f C \l “2" \l 1 </w:instrText>
      </w:r>
      <w:r>
        <w:rPr/>
        <w:fldChar w:fldCharType="separate"/>
      </w:r>
      <w:r>
        <w:rPr/>
      </w:r>
      <w:r>
        <w:rPr/>
        <w:fldChar w:fldCharType="end"/>
      </w:r>
      <w:bookmarkStart w:id="54" w:name="__RefHeading___Toc535051574"/>
      <w:bookmarkEnd w:id="54"/>
      <w:r>
        <w:rPr/>
        <w:t>.  Prior to the Closing, Buyer and Sellers shall negotiate in good faith (a) a definitive Transition Services Agreement, (b) definitive documentation with respect to the Houston Lease, and (c) the License Agreements.</w:t>
      </w:r>
    </w:p>
    <w:p>
      <w:pPr>
        <w:pStyle w:val="Heading2"/>
        <w:keepNext w:val="true"/>
        <w:numPr>
          <w:ilvl w:val="1"/>
          <w:numId w:val="12"/>
        </w:numPr>
        <w:ind w:hanging="0" w:start="0"/>
        <w:rPr/>
      </w:pPr>
      <w:r>
        <w:rPr>
          <w:u w:val="single"/>
        </w:rPr>
        <w:t>Non-Competition; Non-Solicitation</w:t>
      </w:r>
      <w:r>
        <w:fldChar w:fldCharType="begin"/>
      </w:r>
      <w:r>
        <w:rPr/>
        <w:instrText xml:space="preserve"> TC "Section 5.8</w:instrText>
        <w:tab/>
        <w:instrText xml:space="preserve">Non-Competition; Non-Solicitation</w:instrText>
        <w:tab/>
        <w:instrText xml:space="preserve">“ \f C \l “2" \l 1 </w:instrText>
      </w:r>
      <w:r>
        <w:rPr/>
        <w:fldChar w:fldCharType="separate"/>
      </w:r>
      <w:r>
        <w:rPr/>
      </w:r>
      <w:r>
        <w:rPr/>
        <w:fldChar w:fldCharType="end"/>
      </w:r>
      <w:bookmarkStart w:id="55" w:name="__RefHeading___Toc535051575"/>
      <w:bookmarkEnd w:id="55"/>
      <w:r>
        <w:rPr/>
        <w:t>.</w:t>
      </w:r>
    </w:p>
    <w:p>
      <w:pPr>
        <w:pStyle w:val="Heading3"/>
        <w:numPr>
          <w:ilvl w:val="2"/>
          <w:numId w:val="12"/>
        </w:numPr>
        <w:ind w:hanging="0" w:start="0"/>
        <w:rPr/>
      </w:pPr>
      <w:r>
        <w:rPr/>
        <w:t>Sellers expressly covenant that from the Closing Date until the first anniversary of the Termination Date, none shall, directly or indirectly (including through any Affiliates of Sellers), engage in, own, conduct, manage, control, participate in or profit from any operation or business:</w:t>
      </w:r>
    </w:p>
    <w:p>
      <w:pPr>
        <w:pStyle w:val="Heading4"/>
        <w:numPr>
          <w:ilvl w:val="3"/>
          <w:numId w:val="12"/>
        </w:numPr>
        <w:ind w:hanging="0" w:start="0"/>
        <w:rPr/>
      </w:pPr>
      <w:r>
        <w:rPr/>
        <w:t>that is involved in the use, maintenance or exploitation of any electronic trading system, other than as a customer thereof, or</w:t>
      </w:r>
    </w:p>
    <w:p>
      <w:pPr>
        <w:pStyle w:val="Heading4"/>
        <w:numPr>
          <w:ilvl w:val="3"/>
          <w:numId w:val="12"/>
        </w:numPr>
        <w:ind w:hanging="0" w:start="0"/>
        <w:rPr/>
      </w:pPr>
      <w:r>
        <w:rPr/>
        <w:t>that competes, directly or indirectly, with the Business by any means, whether through trading or market making activities, or through structuring, originating, marketing or distributing North American Gas and Electricity Commodities (the “</w:t>
      </w:r>
      <w:r>
        <w:rPr>
          <w:u w:val="single"/>
        </w:rPr>
        <w:t>Business Activities</w:t>
      </w:r>
      <w:r>
        <w:rPr/>
        <w:t xml:space="preserve">”); </w:t>
      </w:r>
      <w:r>
        <w:rPr>
          <w:u w:val="single"/>
        </w:rPr>
        <w:t>provided</w:t>
      </w:r>
      <w:r>
        <w:rPr/>
        <w:t xml:space="preserve">, </w:t>
      </w:r>
      <w:r>
        <w:rPr>
          <w:u w:val="single"/>
        </w:rPr>
        <w:t>however</w:t>
      </w:r>
      <w:r>
        <w:rPr/>
        <w:t>, that this clause (ii) (but without limiting in any way the restrictions in clause (i) above) shall not restrict any Business Activities undertaken solely because such Business Activities are incident to, reasonably necessary for, or customarily (based on past practice) appropriate for the conduct of, (including, in each case, in respect of their scope and dimension) and are effected directly in connection with, existing businesses, the primary activities of which (x) are the exploration, production, generation, manufacture, storage, transmission, and retail delivery of or for natural gas and electricity products including, Portland General, Mariner, Enron’s pipeline businesses and Enron Energy Services (“</w:t>
      </w:r>
      <w:r>
        <w:rPr>
          <w:u w:val="single"/>
        </w:rPr>
        <w:t>EES”</w:t>
      </w:r>
      <w:r>
        <w:rPr/>
        <w:t xml:space="preserve">), and (y) do not include the Business Activities, and are not undertaken for the purpose of the evading the restrictions otherwise set forth in this Section 5.8; and </w:t>
      </w:r>
      <w:r>
        <w:rPr>
          <w:u w:val="single"/>
        </w:rPr>
        <w:t>provided</w:t>
      </w:r>
      <w:r>
        <w:rPr/>
        <w:t xml:space="preserve">; </w:t>
      </w:r>
      <w:r>
        <w:rPr>
          <w:u w:val="single"/>
        </w:rPr>
        <w:t>further</w:t>
      </w:r>
      <w:r>
        <w:rPr/>
        <w:t xml:space="preserve">, that EES or any other energy service provider conducted by the Sellers or their Affiliates or any similar or successor business conducted by them shall engage in the Business Activities only to the extent (A) the Business Activities are a part of an overall energy management contract of the type customarily entered into by EES in the ordinary course of its business consistent with past practice and (B) the counterparties involved in such activities are Qualified EES Counterparties; and </w:t>
      </w:r>
      <w:r>
        <w:rPr>
          <w:u w:val="single"/>
        </w:rPr>
        <w:t>provided</w:t>
      </w:r>
      <w:r>
        <w:rPr/>
        <w:t xml:space="preserve">, </w:t>
      </w:r>
      <w:r>
        <w:rPr>
          <w:u w:val="single"/>
        </w:rPr>
        <w:t>further</w:t>
      </w:r>
      <w:r>
        <w:rPr/>
        <w:t>, that any Business Activities permitted to be undertaken as a result of their connection with a business referred to in the first proviso above shall be terminated and no longer permitted upon the disposition or shut down of, or other cessation by the Sellers and their Affiliates to be engaged in, such business</w:t>
      </w:r>
    </w:p>
    <w:p>
      <w:pPr>
        <w:pStyle w:val="Heading3"/>
        <w:numPr>
          <w:ilvl w:val="2"/>
          <w:numId w:val="12"/>
        </w:numPr>
        <w:ind w:hanging="0" w:start="0"/>
        <w:rPr/>
      </w:pPr>
      <w:r>
        <w:rPr/>
        <w:t>Sellers and each of their Affiliates agree that from the date of this Agreement until the first anniversary of the Termination Date: (i) not, directly or indirectly, to hire, or offer employment to, any employee employed by Buyer in the operations of the Business or to solicit any such employee for employment, or induce any such employee to enter into any written or oral arrangement, agreement or understanding regarding employment, with any Seller or any Affiliate of any Seller or any other person, and (ii) not, directly or indirectly, to offer to retain any such employee or solicit any such employee to act as a consultant or to otherwise provide services, or induce any such employee to enter into any written or oral arrangement, agreement or understanding to act as a consultant or otherwise to provide services, to any Seller or any Affiliate of any Seller or any Person providing consulting or other services to any Seller or any Affiliate of any Seller, without, in all cases, the prior written consent of Buyer.  Nothing in this Section 5.8 is intended to prevent Sellers and their Affiliates from conducting generalized solicitations for employees (which are not specifically directed at employees of the Business or in such line of business) through the use of media advertisement, professional search firms and otherwise.</w:t>
      </w:r>
    </w:p>
    <w:p>
      <w:pPr>
        <w:pStyle w:val="Heading3"/>
        <w:numPr>
          <w:ilvl w:val="2"/>
          <w:numId w:val="12"/>
        </w:numPr>
        <w:ind w:hanging="0" w:start="0"/>
        <w:rPr/>
      </w:pPr>
      <w:r>
        <w:rPr>
          <w:lang w:eastAsia="en-US"/>
        </w:rPr>
        <w:t>Sellers specifically acknowledge and agree that the covenants in this Section 5.8 are commercially reasonable and reasonably necessary to protect the interests Buyer intends to acquire hereunder.  If any court of competent jurisdiction shall in any proceedings refuse to enforce such covenant, in whole or in part, because the time limit or geographical extent applicable thereto is deemed unreasonable in the jurisdiction, it is expressly understood and agreed that such covenant shall not be void but, for the purpose of such proceedings, such time or geographic limitations shall be deemed to be reduced to the extent necessary to permit the enforcement of such covenant in such jurisdiction</w:t>
      </w:r>
      <w:r>
        <w:rPr/>
        <w:t>.  Sellers and Buyer agree that the covenants of this Section 5.8 are an integral part of and important inducement to Buyer to enter into this Agreement.  Without prejudice to any other available remedy, Buyer shall be entitled to specific performance or injunction for any violation or prospective violation of this Section 5.8.</w:t>
      </w:r>
    </w:p>
    <w:p>
      <w:pPr>
        <w:pStyle w:val="Heading2"/>
        <w:numPr>
          <w:ilvl w:val="1"/>
          <w:numId w:val="12"/>
        </w:numPr>
        <w:ind w:hanging="0" w:start="0"/>
        <w:rPr/>
      </w:pPr>
      <w:r>
        <w:rPr>
          <w:u w:val="single"/>
        </w:rPr>
        <w:t>Confidentiality</w:t>
      </w:r>
      <w:r>
        <w:fldChar w:fldCharType="begin"/>
      </w:r>
      <w:r>
        <w:rPr/>
        <w:instrText xml:space="preserve"> TC "Section 5.9</w:instrText>
        <w:tab/>
        <w:instrText xml:space="preserve">Confidentiality</w:instrText>
        <w:tab/>
        <w:instrText xml:space="preserve">“ \f C \l “2" \l 1 </w:instrText>
      </w:r>
      <w:r>
        <w:rPr/>
        <w:fldChar w:fldCharType="separate"/>
      </w:r>
      <w:r>
        <w:rPr/>
      </w:r>
      <w:r>
        <w:rPr/>
        <w:fldChar w:fldCharType="end"/>
      </w:r>
      <w:bookmarkStart w:id="56" w:name="__RefHeading___Toc535051576"/>
      <w:bookmarkEnd w:id="56"/>
      <w:r>
        <w:rPr/>
        <w:t>.  (a)  In the event that the transactions contemplated by this Agreement are completed, it is acknowledged that Buyer will come into possession of, and employees of Buyer that were formerly employees of Sellers as of the Closing Date will have in their possession or be aware of, certain proprietary, confidential and/or trade secret materials, business information, financial information, know-how, trade secrets, technology, documents, reports, manuals, data, computer data, etc. pertaining to the Excluded Assets and other assets of Sellers not related to the Business which embody or contain Sellers’ confidential, proprietary and/or trade secret information and which are not part of or relevant to the Business to be purchased hereunder (“</w:t>
      </w:r>
      <w:r>
        <w:rPr>
          <w:u w:val="single"/>
        </w:rPr>
        <w:t>Sellers’ Confidential Information</w:t>
      </w:r>
      <w:r>
        <w:rPr/>
        <w:t>”), and that Sellers will retain in their possession certain proprietary, confidential and/or trade secret materials, business information, financial information, know-how, trade secrets, technology, documents, reports, manuals, data, computer data, etc. pertaining to the Business which constitute Assets or will obtain information relating to the Business or the Assets following the Closing (“</w:t>
      </w:r>
      <w:r>
        <w:rPr>
          <w:u w:val="single"/>
        </w:rPr>
        <w:t>Buyer’s Confidential Information</w:t>
      </w:r>
      <w:r>
        <w:rPr/>
        <w:t>,” and collectively, “</w:t>
      </w:r>
      <w:r>
        <w:rPr>
          <w:u w:val="single"/>
        </w:rPr>
        <w:t>Confidential Information</w:t>
      </w:r>
      <w:r>
        <w:rPr/>
        <w:t>”).</w:t>
      </w:r>
    </w:p>
    <w:p>
      <w:pPr>
        <w:pStyle w:val="Heading3"/>
        <w:numPr>
          <w:ilvl w:val="2"/>
          <w:numId w:val="13"/>
        </w:numPr>
        <w:rPr/>
      </w:pPr>
      <w:r>
        <w:rPr/>
        <w:t xml:space="preserve">Buyer and Sellers each agree that they shall, after the Closing Date:  (x) hold each other’s Confidential Information in confidence using the care and caution each uses with respect to its own confidential information; (y) not disclose the other’s Confidential Information to any third parties; and (z) not utilize any of the other’s Confidential Information for any purpose other than as allowed pursuant to this Agreement; </w:t>
      </w:r>
      <w:r>
        <w:rPr>
          <w:u w:val="single"/>
        </w:rPr>
        <w:t>provided</w:t>
      </w:r>
      <w:r>
        <w:rPr/>
        <w:t xml:space="preserve"> that the foregoing obligations of confidentiality and non-use shall not extend or shall cease to extend, as appropriate, to any Confidential Information which: </w:t>
      </w:r>
    </w:p>
    <w:p>
      <w:pPr>
        <w:pStyle w:val="Heading4"/>
        <w:numPr>
          <w:ilvl w:val="3"/>
          <w:numId w:val="12"/>
        </w:numPr>
        <w:ind w:hanging="0" w:start="0"/>
        <w:rPr/>
      </w:pPr>
      <w:r>
        <w:rPr/>
        <w:t xml:space="preserve">with respect to Sellers’ Confidential Information, as shown by prior written records, was already in Buyer’s possession prior to the Closing Date and was not acquired from Sellers; </w:t>
      </w:r>
    </w:p>
    <w:p>
      <w:pPr>
        <w:pStyle w:val="Heading4"/>
        <w:numPr>
          <w:ilvl w:val="3"/>
          <w:numId w:val="12"/>
        </w:numPr>
        <w:ind w:hanging="0" w:start="0"/>
        <w:rPr/>
      </w:pPr>
      <w:r>
        <w:rPr/>
        <w:t xml:space="preserve">with respect to Sellers’ Confidential Information, is, or becomes, generally available to the public through no fault or omission of Buyer, and with respect to Buyer’s Confidential Information, is, or becomes, generally available to the public through no fault or omission of Sellers; </w:t>
      </w:r>
    </w:p>
    <w:p>
      <w:pPr>
        <w:pStyle w:val="Heading4"/>
        <w:numPr>
          <w:ilvl w:val="3"/>
          <w:numId w:val="12"/>
        </w:numPr>
        <w:ind w:hanging="0" w:start="0"/>
        <w:rPr/>
      </w:pPr>
      <w:r>
        <w:rPr/>
        <w:t xml:space="preserve">with respect to Sellers’ Confidential Information, is received by Buyer in good faith from a third party who discloses such information to Buyer on a non-confidential basis without, to Buyer’s knowledge, violating any obligation of secrecy as to the information disclosed, and with respect to Buyer’s Confidential Information, is received by Sellers in good faith from a third party who discloses such information to Sellers on a non-confidential basis without, to Sellers’ knowledge, violating any obligation of secrecy as to the information disclosed; </w:t>
      </w:r>
    </w:p>
    <w:p>
      <w:pPr>
        <w:pStyle w:val="Heading4"/>
        <w:numPr>
          <w:ilvl w:val="3"/>
          <w:numId w:val="12"/>
        </w:numPr>
        <w:ind w:hanging="0" w:start="0"/>
        <w:rPr/>
      </w:pPr>
      <w:r>
        <w:rPr/>
        <w:t xml:space="preserve">with respect to Sellers’ Confidential Information, is independently developed by Buyer without reference to or use of Sellers’ Confidential Information, as evidenced by clear and convincing evidence, and with respect to Buyer’s Confidential Information, is independently developed by Sellers without reference to or use of Buyer’s Confidential Information, as evidenced by clear and convincing evidence; and </w:t>
      </w:r>
    </w:p>
    <w:p>
      <w:pPr>
        <w:pStyle w:val="Heading4"/>
        <w:numPr>
          <w:ilvl w:val="3"/>
          <w:numId w:val="12"/>
        </w:numPr>
        <w:ind w:hanging="0" w:start="0"/>
        <w:rPr/>
      </w:pPr>
      <w:r>
        <w:rPr/>
        <w:t>Sellers shall not disclose Buyer’s Confidential Information to any of their Affiliates unless such Affiliate agrees to be bound by the provisions of this Section 5.9.</w:t>
      </w:r>
    </w:p>
    <w:p>
      <w:pPr>
        <w:pStyle w:val="Heading3"/>
        <w:numPr>
          <w:ilvl w:val="2"/>
          <w:numId w:val="12"/>
        </w:numPr>
        <w:ind w:hanging="0" w:start="0"/>
        <w:rPr/>
      </w:pPr>
      <w:r>
        <w:rPr/>
        <w:t xml:space="preserve">Notwithstanding the foregoing, Buyer or Sellers, as the case may be, shall be permitted to disclose any Confidential Information of the other party which is compelled to be disclosed pursuant to any requirement of law, court order, subpoena or similar legal authority (to the extent so compelled), </w:t>
      </w:r>
      <w:r>
        <w:rPr>
          <w:u w:val="single"/>
        </w:rPr>
        <w:t>provided</w:t>
      </w:r>
      <w:r>
        <w:rPr/>
        <w:t xml:space="preserve">, </w:t>
      </w:r>
      <w:r>
        <w:rPr>
          <w:u w:val="single"/>
        </w:rPr>
        <w:t>however</w:t>
      </w:r>
      <w:r>
        <w:rPr/>
        <w:t xml:space="preserve">, that Buyer or Sellers, as applicable, shall mark all information so disclosed as confidential business information of the disclosing party and shall give the other party prompt notice of any such requirement to disclose any Confidential Information, so that the other party may seek appropriate legal relief. </w:t>
      </w:r>
    </w:p>
    <w:p>
      <w:pPr>
        <w:pStyle w:val="Heading3"/>
        <w:numPr>
          <w:ilvl w:val="2"/>
          <w:numId w:val="12"/>
        </w:numPr>
        <w:ind w:hanging="0" w:start="0"/>
        <w:rPr/>
      </w:pPr>
      <w:r>
        <w:rPr/>
        <w:t>Each party shall endeavor to destroy or return to the other all Confidential Information of the other which may be in tangible or machine-readable form unless otherwise agreed in writing.</w:t>
      </w:r>
    </w:p>
    <w:p>
      <w:pPr>
        <w:pStyle w:val="Heading3"/>
        <w:numPr>
          <w:ilvl w:val="2"/>
          <w:numId w:val="12"/>
        </w:numPr>
        <w:ind w:hanging="0" w:start="0"/>
        <w:rPr/>
      </w:pPr>
      <w:r>
        <w:rPr/>
        <w:t>Each party shall advise its directors, officers, employees, agents and advisors of their obligations hereunder.</w:t>
      </w:r>
    </w:p>
    <w:p>
      <w:pPr>
        <w:pStyle w:val="Heading3"/>
        <w:numPr>
          <w:ilvl w:val="2"/>
          <w:numId w:val="12"/>
        </w:numPr>
        <w:ind w:hanging="0" w:start="0"/>
        <w:rPr/>
      </w:pPr>
      <w:r>
        <w:rPr/>
        <w:t>The provisions of this Section 5.19 shall survive until the later of (i) ten years after the Closing and (ii) one year after the Termination Date.</w:t>
      </w:r>
    </w:p>
    <w:p>
      <w:pPr>
        <w:pStyle w:val="Heading2"/>
        <w:numPr>
          <w:ilvl w:val="1"/>
          <w:numId w:val="12"/>
        </w:numPr>
        <w:ind w:hanging="0" w:start="0"/>
        <w:rPr/>
      </w:pPr>
      <w:r>
        <w:rPr>
          <w:u w:val="single"/>
        </w:rPr>
        <w:t>Harmful Codes</w:t>
      </w:r>
      <w:r>
        <w:fldChar w:fldCharType="begin"/>
      </w:r>
      <w:r>
        <w:rPr/>
        <w:instrText xml:space="preserve"> TC "Section 5.10</w:instrText>
        <w:tab/>
        <w:instrText xml:space="preserve">Harmful Codes</w:instrText>
        <w:tab/>
        <w:instrText xml:space="preserve">“ \f C \l “2" \l 1 </w:instrText>
      </w:r>
      <w:r>
        <w:rPr/>
        <w:fldChar w:fldCharType="separate"/>
      </w:r>
      <w:r>
        <w:rPr/>
      </w:r>
      <w:r>
        <w:rPr/>
        <w:fldChar w:fldCharType="end"/>
      </w:r>
      <w:bookmarkStart w:id="57" w:name="__RefHeading___Toc535051577"/>
      <w:bookmarkEnd w:id="57"/>
      <w:r>
        <w:rPr/>
        <w:t>.  Sellers shall use their reasonable best efforts to prevent the inadvertent spread of harmful codes into the systems of the Business, and Sellers shall use their reasonable best efforts, consistent with past practice, to prevent any of their Affiliates, employees, contractors or agents from (a) introducing any harmful code into any computer system or network used by the Business, (b) activating any harmful code in any computer system or network used by the Business, or (c) otherwise impairing the operation of the Business through malicious acts or other acts of sabotage.</w:t>
      </w:r>
    </w:p>
    <w:p>
      <w:pPr>
        <w:pStyle w:val="Heading2"/>
        <w:numPr>
          <w:ilvl w:val="1"/>
          <w:numId w:val="12"/>
        </w:numPr>
        <w:ind w:hanging="0" w:start="0"/>
        <w:rPr/>
      </w:pPr>
      <w:r>
        <w:rPr>
          <w:u w:val="single"/>
        </w:rPr>
        <w:t>Reporting Company Status</w:t>
      </w:r>
      <w:r>
        <w:fldChar w:fldCharType="begin"/>
      </w:r>
      <w:r>
        <w:rPr/>
        <w:instrText xml:space="preserve"> TC "Section 5.11</w:instrText>
        <w:tab/>
        <w:instrText xml:space="preserve">Reporting Company Status</w:instrText>
        <w:tab/>
        <w:instrText xml:space="preserve">“ \f C \l “2" \l 1 </w:instrText>
      </w:r>
      <w:r>
        <w:rPr/>
        <w:fldChar w:fldCharType="separate"/>
      </w:r>
      <w:r>
        <w:rPr/>
      </w:r>
      <w:r>
        <w:rPr/>
        <w:fldChar w:fldCharType="end"/>
      </w:r>
      <w:bookmarkStart w:id="58" w:name="__RefHeading___Toc535051578"/>
      <w:bookmarkEnd w:id="58"/>
      <w:r>
        <w:rPr/>
        <w:t>.  Sellers shall not take any action, and shall use their reasonable best efforts to prevent any other Person or Persons from taking any action, that could, directly or indirectly cause Buyer (or any Affiliate of Buyer to whom Buyer assigns its rights hereunder) to become subject to the registration or reporting obligations under the securities laws of the United States or Canada.</w:t>
      </w:r>
    </w:p>
    <w:p>
      <w:pPr>
        <w:pStyle w:val="Heading2"/>
        <w:numPr>
          <w:ilvl w:val="1"/>
          <w:numId w:val="12"/>
        </w:numPr>
        <w:ind w:hanging="0" w:start="0"/>
        <w:rPr/>
      </w:pPr>
      <w:r>
        <w:rPr>
          <w:u w:val="single"/>
        </w:rPr>
        <w:t>Access to Customer Lists</w:t>
      </w:r>
      <w:r>
        <w:fldChar w:fldCharType="begin"/>
      </w:r>
      <w:r>
        <w:rPr/>
        <w:instrText xml:space="preserve"> TC "Section 5.12</w:instrText>
        <w:tab/>
        <w:instrText xml:space="preserve">Access to Customer Lists</w:instrText>
        <w:tab/>
        <w:instrText xml:space="preserve">“ \f C \l “2" \l 1 </w:instrText>
      </w:r>
      <w:r>
        <w:rPr/>
        <w:fldChar w:fldCharType="separate"/>
      </w:r>
      <w:r>
        <w:rPr/>
      </w:r>
      <w:r>
        <w:rPr/>
        <w:fldChar w:fldCharType="end"/>
      </w:r>
      <w:bookmarkStart w:id="59" w:name="__RefHeading___Toc535051579"/>
      <w:bookmarkEnd w:id="59"/>
      <w:r>
        <w:rPr/>
        <w:t>. In that exclusive possession and use of the customer lists, transaction logs, transaction records and history and customer information relating to the Business is generally to be acquired by Buyer hereunder, following the Closing, Buyer shall provide reasonable access to the same to Sellers, upon reasonable request, solely for the purpose of facilitating the unwind of trading positions undertaken by Sellers prior to December 2, 2001 (subject to such employees of Sellers as may be involved in such access agreeing to confidentiality and use restrictions with respect thereto).</w:t>
      </w:r>
    </w:p>
    <w:p>
      <w:pPr>
        <w:pStyle w:val="Heading2"/>
        <w:numPr>
          <w:ilvl w:val="1"/>
          <w:numId w:val="12"/>
        </w:numPr>
        <w:ind w:hanging="0" w:start="0"/>
        <w:rPr/>
      </w:pPr>
      <w:r>
        <w:rPr>
          <w:u w:val="single"/>
        </w:rPr>
        <w:t>Non-Competition Agreements</w:t>
      </w:r>
      <w:r>
        <w:fldChar w:fldCharType="begin"/>
      </w:r>
      <w:r>
        <w:rPr/>
        <w:instrText xml:space="preserve"> TC "Section 5.13</w:instrText>
        <w:tab/>
        <w:instrText xml:space="preserve">Non-Competition Agreements</w:instrText>
        <w:tab/>
        <w:instrText xml:space="preserve">“ \f C \l “2" \l 1 </w:instrText>
      </w:r>
      <w:r>
        <w:rPr/>
        <w:fldChar w:fldCharType="separate"/>
      </w:r>
      <w:r>
        <w:rPr/>
      </w:r>
      <w:r>
        <w:rPr/>
        <w:fldChar w:fldCharType="end"/>
      </w:r>
      <w:bookmarkStart w:id="60" w:name="__RefHeading___Toc535051580"/>
      <w:bookmarkEnd w:id="60"/>
      <w:r>
        <w:rPr/>
        <w:t xml:space="preserve">.  Prior to the Closing, Sellers shall enforce any existing non-competition and non-solicitation agreement included in or relating to the Assets, if any, as Buyer may direct, and, following the Closing, Sellers shall enforce as directed by Buyer or cooperate with Buyer should Buyer seek to enforce any such non-competition or non-solicitation agreement; </w:t>
      </w:r>
      <w:r>
        <w:rPr>
          <w:u w:val="single"/>
        </w:rPr>
        <w:t>provided</w:t>
      </w:r>
      <w:r>
        <w:rPr/>
        <w:t>, in each case, that any Losses or Liabilities associated therewith shall be borne by Buyer.</w:t>
      </w:r>
    </w:p>
    <w:p>
      <w:pPr>
        <w:pStyle w:val="Heading2"/>
        <w:numPr>
          <w:ilvl w:val="1"/>
          <w:numId w:val="12"/>
        </w:numPr>
        <w:ind w:hanging="0" w:start="0"/>
        <w:rPr/>
      </w:pPr>
      <w:r>
        <w:rPr>
          <w:u w:val="single"/>
        </w:rPr>
        <w:t>Use of Proceeds</w:t>
      </w:r>
      <w:r>
        <w:fldChar w:fldCharType="begin"/>
      </w:r>
      <w:r>
        <w:rPr/>
        <w:instrText xml:space="preserve"> TC "Section 5.14</w:instrText>
        <w:tab/>
        <w:instrText xml:space="preserve">Use of Proceeds</w:instrText>
        <w:tab/>
        <w:instrText xml:space="preserve">“ \f C \l “2" \l 1 </w:instrText>
      </w:r>
      <w:r>
        <w:rPr/>
        <w:fldChar w:fldCharType="separate"/>
      </w:r>
      <w:r>
        <w:rPr/>
      </w:r>
      <w:r>
        <w:rPr/>
        <w:fldChar w:fldCharType="end"/>
      </w:r>
      <w:bookmarkStart w:id="61" w:name="__RefHeading___Toc535051581"/>
      <w:bookmarkEnd w:id="61"/>
      <w:r>
        <w:rPr/>
        <w:t>.  Sellers shall use any and all proceeds resulting herefrom, including any Distributable Annual Share that may become payable hereunder (“</w:t>
      </w:r>
      <w:r>
        <w:rPr>
          <w:u w:val="single"/>
        </w:rPr>
        <w:t>Proceeds</w:t>
      </w:r>
      <w:r>
        <w:rPr/>
        <w:t>”), in such a manner so as to minimize any Liabilities that may be suffered by Buyer as a result hereof, or of such use (including any claims for indemnification that Buyer may have under Article 10 hereof), and as complies with all Applicable Laws.  Sellers shall allocate such proceeds among themselves in such a manner as takes into account the relative fair market value of the Assets sold by each Seller.</w:t>
      </w:r>
    </w:p>
    <w:p>
      <w:pPr>
        <w:pStyle w:val="Heading2"/>
        <w:numPr>
          <w:ilvl w:val="1"/>
          <w:numId w:val="12"/>
        </w:numPr>
        <w:ind w:hanging="0" w:start="0"/>
        <w:rPr/>
      </w:pPr>
      <w:r>
        <w:rPr>
          <w:u w:val="single"/>
        </w:rPr>
        <w:t>Canadian Assets</w:t>
      </w:r>
      <w:r>
        <w:fldChar w:fldCharType="begin"/>
      </w:r>
      <w:r>
        <w:rPr/>
        <w:instrText xml:space="preserve"> TC "Section 5.15</w:instrText>
        <w:tab/>
        <w:instrText xml:space="preserve">Canadian Assets</w:instrText>
        <w:tab/>
        <w:instrText xml:space="preserve">“ \f C \l “2" \l 1 </w:instrText>
      </w:r>
      <w:r>
        <w:rPr/>
        <w:fldChar w:fldCharType="separate"/>
      </w:r>
      <w:r>
        <w:rPr/>
      </w:r>
      <w:r>
        <w:rPr/>
        <w:fldChar w:fldCharType="end"/>
      </w:r>
      <w:bookmarkStart w:id="62" w:name="__RefHeading___Toc535051582"/>
      <w:bookmarkEnd w:id="62"/>
      <w:r>
        <w:rPr/>
        <w:t>.  Sellers agree to use best efforts to cause the Canadian Assets to be transferred to Canadian Buyer, or its designee, hereunder as of the Closing free and clear of all Encumbrances and Liabilities by way of a vesting order or orders of Canadian Courts (which orders are not subject to a pending appeal, leave to appeal or notice of appeal, motion to set aside or vary, and have not been reversed, stayed, modified or amended and respecting which the time to appeal, file a motion for leave to appeal or notice of appeal shall have expired) in form and substance reasonably satisfactory to Buyer which order shall include paragraphs that provide that the Canadian Assets are vested in the Canadian Buyer free and clear of all Encumbrances and Liabilities, any and all of which shall attach to the proceeds of the sale (the “</w:t>
      </w:r>
      <w:r>
        <w:rPr>
          <w:u w:val="single"/>
        </w:rPr>
        <w:t>Vesting Order</w:t>
      </w:r>
      <w:r>
        <w:rPr/>
        <w:t>”) and in accordance with the terms hereof, including by means of causing any Canadian Seller to make any filing or institute any action under any Applicable Law (whether in the form of an ancillary proceeding under section 18.6 of the Companies Creditors Arrangement Act (Canada), an initial order under sections 4 and 11 of the Companies Creditors Arrangement Act (Canada) granting protection to the Canadian Seller and declaring it is a company to which the Companies Creditors Arrangement Act (Canada) applies, or through the commencement of court supervised liquidation and dissolution of the Canadian Seller pursuant to section 214 of the Canada Business Corporations Act) as may be necessary to do so, and by means of entering into any and all such further agreements as may be necessary to effectuate the terms hereof.  In the event that, following compliance with the terms of this Section 5.15, (a) Sellers are unable to transfer the Canadian Assets in accordance with the terms hereof prior to Closing, Sellers shall continue to use best efforts to cause the Canadian Assets to be transferred to Canadian Buyer on or prior to February 28, 2002, and (b) Sellers are unable to cause the Canadian Assets to be transferred to Canadian Buyer on the terms and conditions set forth herein by way of a Vesting Order and other steps as set out above on prior to February 28, 2002, Sellers shall thereupon enter into all arrangements as may be necessary to transfer the benefit of the Canadian Assets (including the benefit of any non-solicitation or non-competition agreements) to the Canadian Buyer and shall permit Canadian Buyer, or its designee, to solicit and hire any employees relating to the Canadian Assets.</w:t>
      </w:r>
    </w:p>
    <w:p>
      <w:pPr>
        <w:pStyle w:val="Heading2"/>
        <w:numPr>
          <w:ilvl w:val="1"/>
          <w:numId w:val="12"/>
        </w:numPr>
        <w:ind w:hanging="0" w:start="0"/>
        <w:rPr/>
      </w:pPr>
      <w:r>
        <w:rPr>
          <w:u w:val="single"/>
        </w:rPr>
        <w:t>No Partnership</w:t>
      </w:r>
      <w:r>
        <w:fldChar w:fldCharType="begin"/>
      </w:r>
      <w:r>
        <w:rPr/>
        <w:instrText xml:space="preserve"> TC "Section 5.16</w:instrText>
        <w:tab/>
        <w:instrText xml:space="preserve">No Partnership</w:instrText>
        <w:tab/>
        <w:instrText xml:space="preserve">“ \f C \l “2" \l 1 </w:instrText>
      </w:r>
      <w:r>
        <w:rPr/>
        <w:fldChar w:fldCharType="separate"/>
      </w:r>
      <w:r>
        <w:rPr/>
      </w:r>
      <w:r>
        <w:rPr/>
        <w:fldChar w:fldCharType="end"/>
      </w:r>
      <w:bookmarkStart w:id="63" w:name="__RefHeading___Toc535051583"/>
      <w:bookmarkEnd w:id="63"/>
      <w:r>
        <w:rPr/>
        <w:t>.  The parties do not intend by virtue of this Agreement and the transactions contemplated hereby to create a partnership for any purpose and expressly agree not to treat the arrangements created hereby as a partnership for Tax purposes.</w:t>
      </w:r>
    </w:p>
    <w:p>
      <w:pPr>
        <w:pStyle w:val="Heading2"/>
        <w:numPr>
          <w:ilvl w:val="1"/>
          <w:numId w:val="12"/>
        </w:numPr>
        <w:ind w:hanging="0" w:start="0"/>
        <w:rPr/>
      </w:pPr>
      <w:r>
        <w:rPr>
          <w:u w:val="single"/>
        </w:rPr>
        <w:t>Parent’s Covenants</w:t>
      </w:r>
      <w:r>
        <w:fldChar w:fldCharType="begin"/>
      </w:r>
      <w:r>
        <w:rPr/>
        <w:instrText xml:space="preserve"> TC "Section 5.17</w:instrText>
        <w:tab/>
        <w:instrText xml:space="preserve">Parent’s Covenants</w:instrText>
        <w:tab/>
        <w:instrText xml:space="preserve">“ \f C \l “2" \l 1 </w:instrText>
      </w:r>
      <w:r>
        <w:rPr/>
        <w:fldChar w:fldCharType="separate"/>
      </w:r>
      <w:r>
        <w:rPr/>
      </w:r>
      <w:r>
        <w:rPr/>
        <w:fldChar w:fldCharType="end"/>
      </w:r>
      <w:bookmarkStart w:id="64" w:name="__RefHeading___Toc535051584"/>
      <w:bookmarkEnd w:id="64"/>
      <w:r>
        <w:rPr/>
        <w:t xml:space="preserve">.  (a) Until the Termination Date, Parent shall not directly or through its Subsidiaries (other than Buyer), or permit Citigroup or any of its controlled Affiliates to, engage in the Business, </w:t>
      </w:r>
      <w:r>
        <w:rPr>
          <w:u w:val="single"/>
        </w:rPr>
        <w:t>provided</w:t>
      </w:r>
      <w:r>
        <w:rPr/>
        <w:t xml:space="preserve">, </w:t>
      </w:r>
      <w:r>
        <w:rPr>
          <w:u w:val="single"/>
        </w:rPr>
        <w:t>however</w:t>
      </w:r>
      <w:r>
        <w:rPr/>
        <w:t>, that</w:t>
      </w:r>
    </w:p>
    <w:p>
      <w:pPr>
        <w:pStyle w:val="Heading4"/>
        <w:numPr>
          <w:ilvl w:val="3"/>
          <w:numId w:val="12"/>
        </w:numPr>
        <w:ind w:hanging="0" w:start="0"/>
        <w:rPr/>
      </w:pPr>
      <w:r>
        <w:rPr/>
        <w:t>Citigroup may continue trading in North American Gas and Electricity Commodities through its Phibro and any Citigroup commodities derivatives trading businesses;</w:t>
      </w:r>
    </w:p>
    <w:p>
      <w:pPr>
        <w:pStyle w:val="Heading4"/>
        <w:numPr>
          <w:ilvl w:val="3"/>
          <w:numId w:val="12"/>
        </w:numPr>
        <w:ind w:hanging="0" w:start="0"/>
        <w:rPr/>
      </w:pPr>
      <w:r>
        <w:rPr/>
        <w:t xml:space="preserve">Citigroup may acquire, merge with, partner with, or agree to control, manage, participate in or profit from a business or with a person that otherwise would violate the foregoing restrictions as long as the annual sales of the acquired business or person in businesses that violate the foregoing restrictions are less than 25% of those of Buyer for the most recently completed fiscal year; </w:t>
      </w:r>
      <w:r>
        <w:rPr>
          <w:u w:val="single"/>
        </w:rPr>
        <w:t>provided</w:t>
      </w:r>
      <w:r>
        <w:rPr/>
        <w:t xml:space="preserve"> that the annual sales of a business or Person in businesses which violate the foregoing restrictions are in excess of 25% of those of Buyer for the most recently completed fiscal year, Citigroup may undertake a transaction with such business or person as long as it divests itself of the competing operations with 12 months after such acquisition, and</w:t>
      </w:r>
    </w:p>
    <w:p>
      <w:pPr>
        <w:pStyle w:val="Heading4"/>
        <w:numPr>
          <w:ilvl w:val="3"/>
          <w:numId w:val="12"/>
        </w:numPr>
        <w:ind w:hanging="0" w:start="0"/>
        <w:rPr/>
      </w:pPr>
      <w:r>
        <w:rPr/>
        <w:t xml:space="preserve">(A)  Citigroup may own an aggregate of not more than 15% of the outstanding securities of any class of any entity that otherwise would violate the foregoing restrictions, if such securities are listed on any securities exchange or dealing facility (whether in the United States or elsewhere) without violating the provisions of this Section 5.17, </w:t>
      </w:r>
      <w:r>
        <w:rPr>
          <w:u w:val="single"/>
        </w:rPr>
        <w:t>provided</w:t>
      </w:r>
      <w:r>
        <w:rPr/>
        <w:t xml:space="preserve"> that Citigroup does not have the power to control or direct the management or affairs of such entity; and (B) with respect to any operations, the restrictions of this Section 5.17 shall terminate upon Buyer’s entering into an agreement for the sale, transfer, lease or license of such operations or taking a decision to suspend such operations.</w:t>
      </w:r>
    </w:p>
    <w:p>
      <w:pPr>
        <w:pStyle w:val="BodyText"/>
        <w:ind w:hanging="0" w:end="0"/>
        <w:rPr/>
      </w:pPr>
      <w:r>
        <w:rPr/>
        <w:t>Notwithstanding the foregoing, the provisions of this Section 5.17 shall not apply to or limit activities related to ordinary course activities undertaken by Citigroup or its Affiliates including, but not limited to (A) proprietary and third party portfolio and asset management and merchant banking and fund activities, (B) securities trading and brokerage activities and (C) advisory and other investment and commercial banking activities.</w:t>
      </w:r>
    </w:p>
    <w:p>
      <w:pPr>
        <w:pStyle w:val="Heading3"/>
        <w:numPr>
          <w:ilvl w:val="2"/>
          <w:numId w:val="12"/>
        </w:numPr>
        <w:ind w:hanging="0" w:start="0"/>
        <w:rPr/>
      </w:pPr>
      <w:r>
        <w:rPr/>
        <w:t xml:space="preserve">Until the Termination Date, Parent agrees that Buyer only engage in the Business and shall not engage in a meaningful way in any substantially different lines of business without Enron’s consent; </w:t>
      </w:r>
      <w:r>
        <w:rPr>
          <w:u w:val="single"/>
        </w:rPr>
        <w:t>provided</w:t>
      </w:r>
      <w:r>
        <w:rPr/>
        <w:t>, that Buyer may engage in any lines of business related or incidental to the Business (which shall include the trading of fuel oil and coal and the business currently or formerly conducted by EES).  For the avoidance of doubt, nothing in this Section 5.17 shall be deemed to restrict the activities that Citigroup may conduct outside of Buyer.</w:t>
      </w:r>
    </w:p>
    <w:p>
      <w:pPr>
        <w:pStyle w:val="Heading3"/>
        <w:numPr>
          <w:ilvl w:val="2"/>
          <w:numId w:val="12"/>
        </w:numPr>
        <w:ind w:hanging="0" w:start="0"/>
        <w:rPr/>
      </w:pPr>
      <w:r>
        <w:rPr/>
        <w:t>Until the Termination Date, Buyer agrees to provide to Sellers (i) monthly management reports reflecting Buyer’s results of operations, in such form as Buyer prepares for its internal purposes, and (ii) semi-annual reports reflecting the material terms of any material transactions engaged in by Buyer outside of the ordinary course of its business (and in excess of $1 million, individually) and a summary statement of expenses charged by Citigroup or any of its Affiliates for goods or services provided to Buyer (it being understood that this clause (d)(ii) shall not require Buyer to disclose trades effected by or processed by Buyer with or on behalf of any Affiliate of Citigroup).</w:t>
      </w:r>
    </w:p>
    <w:p>
      <w:pPr>
        <w:pStyle w:val="Heading2"/>
        <w:keepNext w:val="true"/>
        <w:numPr>
          <w:ilvl w:val="1"/>
          <w:numId w:val="12"/>
        </w:numPr>
        <w:ind w:hanging="0" w:start="0"/>
        <w:rPr/>
      </w:pPr>
      <w:r>
        <w:rPr>
          <w:u w:val="single"/>
        </w:rPr>
        <w:t>Sellers’ Acknowledgment of Nature of Relationship</w:t>
      </w:r>
      <w:r>
        <w:fldChar w:fldCharType="begin"/>
      </w:r>
      <w:r>
        <w:rPr/>
        <w:instrText xml:space="preserve"> TC "Section 5.18</w:instrText>
        <w:tab/>
        <w:instrText xml:space="preserve">Sellers’ Acknowledgment of Nature of Relationship</w:instrText>
        <w:tab/>
        <w:instrText xml:space="preserve">“ \f C \l “2" \l 1 </w:instrText>
      </w:r>
      <w:r>
        <w:rPr/>
        <w:fldChar w:fldCharType="separate"/>
      </w:r>
      <w:r>
        <w:rPr/>
      </w:r>
      <w:r>
        <w:rPr/>
        <w:fldChar w:fldCharType="end"/>
      </w:r>
      <w:bookmarkStart w:id="65" w:name="__RefHeading___Toc535051585"/>
      <w:bookmarkEnd w:id="65"/>
      <w:r>
        <w:rPr/>
        <w:t xml:space="preserve">.  </w:t>
      </w:r>
    </w:p>
    <w:p>
      <w:pPr>
        <w:pStyle w:val="Heading3"/>
        <w:numPr>
          <w:ilvl w:val="2"/>
          <w:numId w:val="12"/>
        </w:numPr>
        <w:ind w:hanging="0" w:start="0"/>
        <w:rPr/>
      </w:pPr>
      <w:r>
        <w:rPr/>
        <w:t>Sellers acknowledge that (i) immediately after the Closing, Buyer will not be a joint venture, partnership or similar arrangement with Seller but rather continue as a wholly owned and controlled subsidiary of Parent, (ii) Buyer and its Affiliates shall have full and exclusive rights to manage and control the business and affairs of the Business or Buyer in their sole and absolute discretion, including the right to shut down the Business at any time, (iii) neither Buyer nor Parent nor any of their Affiliates shall owe any fiduciary or other duties to any Seller or any of their Affiliates, and none of Seller or any of its Affiliates shall have any rights with respect to Buyer except as specifically negotiated and set forth herein, (iv) none of the Sellers or their Affiliates is relying upon any business plan or projections relating to any aspect of Buyer’s future management and operation of the Business, and (v) none of Seller or its Affiliates shall have any claim against Buyer or any of its Affiliates, based upon or arising from a claimed breach of any fiduciary duty (including, without limitation, any duty of loyalty) corporate opportunity doctrine, conflict of interest or any similar basis, or relating to Buyer’s or its Affiliates’ management or control of the business and affairs of Buyer or the Business, through Buyer or otherwise, and each Seller and its Affiliates hereby waives any such claim on behalf of itself and its Affiliates and their respective successors and assigns.</w:t>
      </w:r>
    </w:p>
    <w:p>
      <w:pPr>
        <w:pStyle w:val="Heading3"/>
        <w:numPr>
          <w:ilvl w:val="2"/>
          <w:numId w:val="12"/>
        </w:numPr>
        <w:ind w:hanging="0" w:start="0"/>
        <w:rPr/>
      </w:pPr>
      <w:r>
        <w:rPr/>
        <w:t>Sellers further acknowledge that, in taking any action, making any decision or exercising any discretion with respect to Buyer or its Affiliates, Parent and its Affiliates shall be entitled to consider such interests and factors as it desires, including its own interests or those of its Affiliates, and shall have no duty or obligation (i) to give any consideration to the interest of or factors affecting Buyer, any Seller or and of its Affiliates or (ii) to abstain from participating in any vote or other action of Buyer or its Affiliates or any board of directors or similar governing body of any of the foregoing.</w:t>
      </w:r>
    </w:p>
    <w:p>
      <w:pPr>
        <w:pStyle w:val="Heading2"/>
        <w:numPr>
          <w:ilvl w:val="1"/>
          <w:numId w:val="12"/>
        </w:numPr>
        <w:ind w:hanging="0" w:start="0"/>
        <w:rPr/>
      </w:pPr>
      <w:r>
        <w:rPr>
          <w:u w:val="single"/>
        </w:rPr>
        <w:t>Third Party Licenses</w:t>
      </w:r>
      <w:r>
        <w:fldChar w:fldCharType="begin"/>
      </w:r>
      <w:r>
        <w:rPr/>
        <w:instrText xml:space="preserve"> TC "Section 5.19</w:instrText>
        <w:tab/>
        <w:instrText xml:space="preserve">Certain Licenses</w:instrText>
        <w:tab/>
        <w:instrText xml:space="preserve">“ \f C \l “2" \l 1 </w:instrText>
      </w:r>
      <w:r>
        <w:rPr/>
        <w:fldChar w:fldCharType="separate"/>
      </w:r>
      <w:r>
        <w:rPr/>
      </w:r>
      <w:r>
        <w:rPr/>
        <w:fldChar w:fldCharType="end"/>
      </w:r>
      <w:bookmarkStart w:id="66" w:name="__RefHeading___Toc535051586"/>
      <w:bookmarkEnd w:id="66"/>
      <w:r>
        <w:rPr/>
        <w:t>.  Seller shall cause, at its sole cost and its expense, any Third Party License, including any licenses (a) granted pursuant to the terms of any cost sharing agreement entered among any Seller and any of its Affiliates, or (b) granted in connection with services rendered to or by BridgeLine Holdings, L.P. and AEP Energy Services and Houston Pipeline Co., to terminate fully and completely and afford no Person any further rights to use, license, sublicense or otherwise exploit any Intellectual Property exclusively licensed to Buyer or its Affiliates under the License Agreements.</w:t>
      </w:r>
    </w:p>
    <w:p>
      <w:pPr>
        <w:pStyle w:val="Heading1"/>
        <w:numPr>
          <w:ilvl w:val="0"/>
          <w:numId w:val="12"/>
        </w:numPr>
        <w:ind w:hanging="0" w:start="0"/>
        <w:rPr/>
      </w:pPr>
      <w:r>
        <w:rPr/>
        <w:br/>
        <w:br/>
        <w:t>Employers and Employee Benefits</w:t>
      </w:r>
      <w:r>
        <w:fldChar w:fldCharType="begin"/>
      </w:r>
      <w:r>
        <w:rPr/>
        <w:instrText xml:space="preserve"> TC "ARTICLE 6_x000b__x000b_Employers and Employee Benefits" \l 1 </w:instrText>
      </w:r>
      <w:r>
        <w:rPr/>
        <w:fldChar w:fldCharType="separate"/>
      </w:r>
      <w:r>
        <w:rPr/>
      </w:r>
      <w:r>
        <w:rPr/>
        <w:fldChar w:fldCharType="end"/>
      </w:r>
    </w:p>
    <w:p>
      <w:pPr>
        <w:pStyle w:val="Heading2"/>
        <w:numPr>
          <w:ilvl w:val="1"/>
          <w:numId w:val="12"/>
        </w:numPr>
        <w:ind w:hanging="0" w:start="0"/>
        <w:rPr/>
      </w:pPr>
      <w:r>
        <w:rPr>
          <w:u w:val="single"/>
        </w:rPr>
        <w:t>Employment of Sellers’ Employees</w:t>
      </w:r>
      <w:r>
        <w:fldChar w:fldCharType="begin"/>
      </w:r>
      <w:r>
        <w:rPr/>
        <w:instrText xml:space="preserve"> TC "Section 6.1</w:instrText>
        <w:tab/>
        <w:instrText xml:space="preserve">Employment of Sellers’ Employees</w:instrText>
        <w:tab/>
        <w:instrText xml:space="preserve">“ \f C \l “2" \l 1 </w:instrText>
      </w:r>
      <w:r>
        <w:rPr/>
        <w:fldChar w:fldCharType="separate"/>
      </w:r>
      <w:r>
        <w:rPr/>
      </w:r>
      <w:r>
        <w:rPr/>
        <w:fldChar w:fldCharType="end"/>
      </w:r>
      <w:bookmarkStart w:id="67" w:name="__RefHeading___Toc535051587"/>
      <w:bookmarkEnd w:id="67"/>
      <w:r>
        <w:rPr/>
        <w:t xml:space="preserve">.  (a)  Each Seller shall use its best efforts, and shall cause its Affiliates to use their best efforts, to retain all Employees, in each case from the date hereof through the Closing Date and to assist Buyer in hiring the Employees offered employment pursuant to Section 6.1(b).  </w:t>
      </w:r>
    </w:p>
    <w:p>
      <w:pPr>
        <w:pStyle w:val="Heading3"/>
        <w:numPr>
          <w:ilvl w:val="2"/>
          <w:numId w:val="14"/>
        </w:numPr>
        <w:rPr/>
      </w:pPr>
      <w:r>
        <w:rPr/>
        <w:t>Buyer shall offer employment to those Employees to whom Buyer, in its sole discretion, chooses to make employment offers, on such terms and conditions as Buyer shall determine.  The time at which the employment by Buyer of each such Employee who is not an Inactive Employee as of the Closing and who accepts such offer of employment shall become effective (the “</w:t>
      </w:r>
      <w:r>
        <w:rPr>
          <w:u w:val="single"/>
        </w:rPr>
        <w:t>Effective Time of Employment</w:t>
      </w:r>
      <w:r>
        <w:rPr/>
        <w:t>”) shall be the Closing.  The Effective Time of Employment of any such Employee who is an Inactive Employee as of the Closing shall be such time (if any) within one hundred eighty (180) days following the Closing Date that such Inactive Employee returns to active status and reports to work with Buyer, and Buyer shall have no obligation to employ any such Inactive Employee who fails to return to active status or to report to work with Buyer, as applicable, within such one hundred eighty (180) day period.  Each Employee who becomes employed by Buyer pursuant to one of the two preceding sentences shall be considered a “</w:t>
      </w:r>
      <w:r>
        <w:rPr>
          <w:u w:val="single"/>
        </w:rPr>
        <w:t>Transitioned Employee</w:t>
      </w:r>
      <w:r>
        <w:rPr/>
        <w:t>” from and after his or her Effective Time of Employment.</w:t>
      </w:r>
    </w:p>
    <w:p>
      <w:pPr>
        <w:pStyle w:val="Heading3"/>
        <w:numPr>
          <w:ilvl w:val="2"/>
          <w:numId w:val="12"/>
        </w:numPr>
        <w:ind w:hanging="0" w:start="0"/>
        <w:rPr/>
      </w:pPr>
      <w:r>
        <w:rPr/>
        <w:t>From the date hereof through the Closing, Sellers shall permit Buyer or its Affiliates to communicate and meet with the Employees, at reasonable times and upon reasonable notice, concerning Buyer’s or its Affiliate’s plans, as applicable, operations, business, customer relations and general personnel matters and to interview the Employees and review the personnel records and such other information concerning the Employees as Buyer or its Affiliate’s, as applicable, may reasonably request (subject to obtaining any legally required written permission of any affected Employee and to other Applicable Law).</w:t>
      </w:r>
    </w:p>
    <w:p>
      <w:pPr>
        <w:pStyle w:val="Heading3"/>
        <w:numPr>
          <w:ilvl w:val="2"/>
          <w:numId w:val="12"/>
        </w:numPr>
        <w:ind w:hanging="0" w:start="0"/>
        <w:rPr/>
      </w:pPr>
      <w:r>
        <w:rPr>
          <w:lang w:eastAsia="en-US"/>
        </w:rPr>
        <w:t>As soon as practicable following the Closing, Buyer shall provide Transitioned Employees with employee benefits that, in the aggregate, are substantially comparable to those for which similarly situated employees of Buyer are eligible.  Buyer agrees to give all Transitioned Employees service credit for all periods of employment with Sellers or any of their Affiliates (or their predecessor entities) prior to the Closing Date (or the Effective Time of Employment for Inactive Employees) for purposes of eligibility and vesting under any employee benefit plan or program in which the Transitioned Employees are eligible to participate from and after the Closing, except to the extent it would result in duplicate benefits with respect to the same period of service.</w:t>
      </w:r>
      <w:r>
        <w:rPr/>
        <w:t xml:space="preserve">  Buyer agrees to cause all applicable welfare benefit plans of Buyer to waive any preexisting condition limitation, exclusion or waiting period for the Transitioned Employees and their dependents, to the extent that such limitations, exclusions or waiting periods were satisfied, covered, or waived under similar Employee Benefit Plans.  </w:t>
      </w:r>
    </w:p>
    <w:p>
      <w:pPr>
        <w:pStyle w:val="Heading3"/>
        <w:numPr>
          <w:ilvl w:val="2"/>
          <w:numId w:val="12"/>
        </w:numPr>
        <w:ind w:hanging="0" w:start="0"/>
        <w:rPr/>
      </w:pPr>
      <w:r>
        <w:rPr/>
        <w:t>As soon as practicable following the Closing, Buyer shall make available a defined contribution plan that is intended to be qualified under section 401(k) of the Code and maintained or sponsored by Buyer or its Affiliate, and subject to approval by the trustee or the plan administrator of such 401(k) plan, shall cause such 401(k) plan to accept a direct rollover of any “eligible rollover distribution” of any Transitioned Employee from Seller’s 401(k) Plan.  In the event such approval by the trustee or plan administrator of the Buyer or Affiliate 401(k) Plan is not obtained, no rollover distributions shall occur.</w:t>
      </w:r>
    </w:p>
    <w:p>
      <w:pPr>
        <w:pStyle w:val="Heading2"/>
        <w:numPr>
          <w:ilvl w:val="1"/>
          <w:numId w:val="12"/>
        </w:numPr>
        <w:ind w:hanging="0" w:start="0"/>
        <w:rPr/>
      </w:pPr>
      <w:r>
        <w:rPr>
          <w:u w:val="single"/>
        </w:rPr>
        <w:t>Bonus Payments</w:t>
      </w:r>
      <w:r>
        <w:fldChar w:fldCharType="begin"/>
      </w:r>
      <w:r>
        <w:rPr/>
        <w:instrText xml:space="preserve"> TC "Section 6.2</w:instrText>
        <w:tab/>
        <w:instrText xml:space="preserve">Bonus Payments</w:instrText>
        <w:tab/>
        <w:instrText xml:space="preserve"> </w:instrText>
        <w:tab/>
        <w:instrText xml:space="preserve">“\f C \l</w:instrText>
        <w:tab/>
        <w:instrText xml:space="preserve">“2" \l 1 </w:instrText>
      </w:r>
      <w:r>
        <w:rPr/>
        <w:fldChar w:fldCharType="separate"/>
      </w:r>
      <w:r>
        <w:rPr/>
      </w:r>
      <w:r>
        <w:rPr/>
        <w:fldChar w:fldCharType="end"/>
      </w:r>
      <w:bookmarkStart w:id="68" w:name="__RefHeading___Toc535051588"/>
      <w:bookmarkEnd w:id="68"/>
      <w:r>
        <w:rPr/>
        <w:t xml:space="preserve">.  Buyer shall provide a bonus </w:t>
      </w:r>
      <w:r>
        <w:rPr>
          <w:rFonts w:cs="CG Times" w:ascii="CG Times" w:hAnsi="CG Times"/>
        </w:rPr>
        <w:t xml:space="preserve">pool to such employees of Buyer as are set forth at </w:t>
      </w:r>
      <w:r>
        <w:rPr>
          <w:rFonts w:cs="CG Times" w:ascii="CG Times" w:hAnsi="CG Times"/>
          <w:u w:val="single"/>
        </w:rPr>
        <w:t>Schedule 6.2</w:t>
      </w:r>
      <w:r>
        <w:rPr>
          <w:rFonts w:cs="CG Times" w:ascii="CG Times" w:hAnsi="CG Times"/>
        </w:rPr>
        <w:t>, substantially in accordance with the provisions of the bonus pool term sheet set forth in Schedule 6.2.</w:t>
      </w:r>
    </w:p>
    <w:p>
      <w:pPr>
        <w:pStyle w:val="Heading2"/>
        <w:numPr>
          <w:ilvl w:val="1"/>
          <w:numId w:val="12"/>
        </w:numPr>
        <w:ind w:hanging="0" w:start="0"/>
        <w:rPr/>
      </w:pPr>
      <w:r>
        <w:rPr>
          <w:u w:val="single"/>
        </w:rPr>
        <w:t>Training</w:t>
      </w:r>
      <w:r>
        <w:fldChar w:fldCharType="begin"/>
      </w:r>
      <w:r>
        <w:rPr/>
        <w:instrText xml:space="preserve"> TC "Section 6.3</w:instrText>
        <w:tab/>
        <w:instrText xml:space="preserve">Training</w:instrText>
        <w:tab/>
        <w:instrText xml:space="preserve"> </w:instrText>
        <w:tab/>
        <w:instrText xml:space="preserve">“\f C \l</w:instrText>
        <w:tab/>
        <w:instrText xml:space="preserve">“2" \l 1 </w:instrText>
      </w:r>
      <w:r>
        <w:rPr/>
        <w:fldChar w:fldCharType="separate"/>
      </w:r>
      <w:r>
        <w:rPr/>
      </w:r>
      <w:r>
        <w:rPr/>
        <w:fldChar w:fldCharType="end"/>
      </w:r>
      <w:bookmarkStart w:id="69" w:name="__RefHeading___Toc535051589"/>
      <w:bookmarkEnd w:id="69"/>
      <w:r>
        <w:rPr/>
        <w:t>.  Sellers shall permit Buyer or its Affiliates to train the Employees to whom Buyer intends to make offers of employment before Closing with regard to operations, policies and procedures at Buyer’s sole cost and expense.  At Buyer’s election, this training may take place during or outside of business hours and may take place at Sellers’ facilities; provided, however, that any training that occurs shall be conducted in a manner not unreasonably disruptive to the Business.</w:t>
      </w:r>
    </w:p>
    <w:p>
      <w:pPr>
        <w:pStyle w:val="Heading2"/>
        <w:numPr>
          <w:ilvl w:val="1"/>
          <w:numId w:val="12"/>
        </w:numPr>
        <w:ind w:hanging="0" w:start="0"/>
        <w:rPr/>
      </w:pPr>
      <w:r>
        <w:rPr>
          <w:u w:val="single"/>
        </w:rPr>
        <w:t>Reservation of Rights</w:t>
      </w:r>
      <w:r>
        <w:fldChar w:fldCharType="begin"/>
      </w:r>
      <w:r>
        <w:rPr/>
        <w:instrText xml:space="preserve"> TC "Section 6.4</w:instrText>
        <w:tab/>
        <w:instrText xml:space="preserve">Reservation of Rights</w:instrText>
        <w:tab/>
        <w:instrText xml:space="preserve"> </w:instrText>
        <w:tab/>
        <w:instrText xml:space="preserve">“\f C \l</w:instrText>
        <w:tab/>
        <w:instrText xml:space="preserve">“2" \l 1 </w:instrText>
      </w:r>
      <w:r>
        <w:rPr/>
        <w:fldChar w:fldCharType="separate"/>
      </w:r>
      <w:r>
        <w:rPr/>
      </w:r>
      <w:r>
        <w:rPr/>
        <w:fldChar w:fldCharType="end"/>
      </w:r>
      <w:bookmarkStart w:id="70" w:name="__RefHeading___Toc535051590"/>
      <w:bookmarkEnd w:id="70"/>
      <w:r>
        <w:rPr/>
        <w:t>.  Nothing contained herein shall require that Buyer, Parent, or any of their Affiliates  make offers of employment to any Employee, continue the employment of any Transitioned Employee following the Closing Date, nor shall this Agreement limit in any way Buyer’s (or its Affiliates) ability or right to amend or terminate any benefit or compensation plan or program of Buyer or its Affiliates.</w:t>
      </w:r>
    </w:p>
    <w:p>
      <w:pPr>
        <w:pStyle w:val="Heading2"/>
        <w:numPr>
          <w:ilvl w:val="1"/>
          <w:numId w:val="12"/>
        </w:numPr>
        <w:ind w:hanging="0" w:start="0"/>
        <w:rPr/>
      </w:pPr>
      <w:r>
        <w:rPr>
          <w:u w:val="single"/>
        </w:rPr>
        <w:t>Liabilities; Indemnification</w:t>
      </w:r>
      <w:r>
        <w:fldChar w:fldCharType="begin"/>
      </w:r>
      <w:r>
        <w:rPr/>
        <w:instrText xml:space="preserve"> TC "Section 6.5</w:instrText>
        <w:tab/>
        <w:instrText xml:space="preserve">Liabilities; Indemnification</w:instrText>
        <w:tab/>
        <w:instrText xml:space="preserve"> </w:instrText>
        <w:tab/>
        <w:instrText xml:space="preserve">“\f C \l</w:instrText>
        <w:tab/>
        <w:instrText xml:space="preserve">“2" \l 1 </w:instrText>
      </w:r>
      <w:r>
        <w:rPr/>
        <w:fldChar w:fldCharType="separate"/>
      </w:r>
      <w:r>
        <w:rPr/>
      </w:r>
      <w:r>
        <w:rPr/>
        <w:fldChar w:fldCharType="end"/>
      </w:r>
      <w:bookmarkStart w:id="71" w:name="__RefHeading___Toc535051591"/>
      <w:bookmarkEnd w:id="71"/>
      <w:r>
        <w:rPr/>
        <w:t>.  Without limiting the generality of Section 2.4 and Article 10, Sellers, jointly and severally, covenant and agree to expressly retain, and to indemnify and hold harmless, Buyer, Parent and their respective officers, directors, employees, agents, advisers, representatives and Affiliates (collectively, the “</w:t>
      </w:r>
      <w:r>
        <w:rPr>
          <w:u w:val="single"/>
        </w:rPr>
        <w:t>Buyer Indemnitees</w:t>
      </w:r>
      <w:r>
        <w:rPr/>
        <w:t>”) from and against, and to pay or reimburse the Buyer Indemnitees for, any and all Losses or Liabilities resulting from or arising in connection with:  (a) any Employee Benefit Plan, (b) any consultant or former consultant to the Business, and any employee or former employee of Sellers who is not a Transitioned Employee, (c) any Transitioned Employee to the extent attributable to events or circumstances occurring or existing on or prior to the Closing; and (d) any employment, severance, or other compensation agreement, Liability or obligation between any Seller and any consultant, former consultant, employee or former employee of Sellers or any payroll obligations to such Persons or any Governmental Authority.</w:t>
      </w:r>
    </w:p>
    <w:p>
      <w:pPr>
        <w:pStyle w:val="Heading1"/>
        <w:numPr>
          <w:ilvl w:val="0"/>
          <w:numId w:val="12"/>
        </w:numPr>
        <w:ind w:hanging="0" w:start="0"/>
        <w:rPr/>
      </w:pPr>
      <w:r>
        <w:rPr/>
        <w:br/>
        <w:br/>
        <w:t>Tax Matters</w:t>
      </w:r>
      <w:r>
        <w:fldChar w:fldCharType="begin"/>
      </w:r>
      <w:r>
        <w:rPr/>
        <w:instrText xml:space="preserve"> TC "ARTICLE 7_x000b__x000b_Tax Matters" \l 1 </w:instrText>
      </w:r>
      <w:r>
        <w:rPr/>
        <w:fldChar w:fldCharType="separate"/>
      </w:r>
      <w:r>
        <w:rPr/>
      </w:r>
      <w:r>
        <w:rPr/>
        <w:fldChar w:fldCharType="end"/>
      </w:r>
    </w:p>
    <w:p>
      <w:pPr>
        <w:pStyle w:val="Heading2"/>
        <w:numPr>
          <w:ilvl w:val="1"/>
          <w:numId w:val="12"/>
        </w:numPr>
        <w:ind w:hanging="0" w:start="0"/>
        <w:rPr/>
      </w:pPr>
      <w:r>
        <w:rPr>
          <w:u w:val="single"/>
        </w:rPr>
        <w:t>Tax Representations</w:t>
      </w:r>
      <w:r>
        <w:fldChar w:fldCharType="begin"/>
      </w:r>
      <w:r>
        <w:rPr/>
        <w:instrText xml:space="preserve"> TC "Section 7.1</w:instrText>
        <w:tab/>
        <w:instrText xml:space="preserve">Tax Representations</w:instrText>
        <w:tab/>
        <w:instrText xml:space="preserve">“ \f C \l “2" \l 1 </w:instrText>
      </w:r>
      <w:r>
        <w:rPr/>
        <w:fldChar w:fldCharType="separate"/>
      </w:r>
      <w:r>
        <w:rPr/>
      </w:r>
      <w:r>
        <w:rPr/>
        <w:fldChar w:fldCharType="end"/>
      </w:r>
      <w:bookmarkStart w:id="72" w:name="__RefHeading___Toc535051592"/>
      <w:bookmarkEnd w:id="72"/>
      <w:r>
        <w:rPr/>
        <w:t>.  None of the Assets is “tax exempt use property” within the meaning of section 168(h) of the Code.  None of the Assets is a lease made pursuant to section 168(f)(8) of the Internal Revenue Code of 1954.  No liens for Taxes (except liens for Taxes not yet due) have been filed and no claims for Taxes have been asserted in writing with respect to the Assets, the Assumed Liabilities or the Business that would subject the Buyer to any liability for Excluded Taxes.</w:t>
      </w:r>
    </w:p>
    <w:p>
      <w:pPr>
        <w:pStyle w:val="Heading2"/>
        <w:numPr>
          <w:ilvl w:val="1"/>
          <w:numId w:val="12"/>
        </w:numPr>
        <w:ind w:hanging="0" w:start="0"/>
        <w:rPr/>
      </w:pPr>
      <w:r>
        <w:rPr>
          <w:u w:val="single"/>
        </w:rPr>
        <w:t>Tax Matters</w:t>
      </w:r>
      <w:r>
        <w:fldChar w:fldCharType="begin"/>
      </w:r>
      <w:r>
        <w:rPr/>
        <w:instrText xml:space="preserve"> TC "Section 7.2</w:instrText>
        <w:tab/>
        <w:instrText xml:space="preserve">Tax Matters</w:instrText>
        <w:tab/>
        <w:instrText xml:space="preserve">“ \f C \l “2" \l 1 </w:instrText>
      </w:r>
      <w:r>
        <w:rPr/>
        <w:fldChar w:fldCharType="separate"/>
      </w:r>
      <w:r>
        <w:rPr/>
      </w:r>
      <w:r>
        <w:rPr/>
        <w:fldChar w:fldCharType="end"/>
      </w:r>
      <w:bookmarkStart w:id="73" w:name="__RefHeading___Toc535051593"/>
      <w:bookmarkEnd w:id="73"/>
      <w:r>
        <w:rPr/>
        <w:t>.  (a)  All real and personal property transfer, documentary, sales, use, registration, value-added and other similar Taxes (including interest, penalties and additions to Tax) incurred in connection with the transactions contemplated by this Agreement and imposed by a United States Taxing Authority shall be borne equally by Sellers and Buyer.  All other real and personal property transfer, documentary, sales, use, registration, value-added and other similar Taxes (including interest, penalties and additions to Tax) incurred in connection with the transactions contemplated by this Agreement shall be borne by Sellers, and Sellers shall, jointly and severally, indemnify Buyer for any such Taxes incurred by Buyer as a result of Sellers’ failure to timely pay such Taxes.</w:t>
      </w:r>
    </w:p>
    <w:p>
      <w:pPr>
        <w:pStyle w:val="Heading3"/>
        <w:numPr>
          <w:ilvl w:val="2"/>
          <w:numId w:val="15"/>
        </w:numPr>
        <w:rPr/>
      </w:pPr>
      <w:r>
        <w:rPr/>
        <w:t>Each Seller that is a “domestic corporation” within the meaning of sections 7701(a)(3) and (4) of the Code and section 1.897-1(j) of the applicable Treasury regulations (a “</w:t>
      </w:r>
      <w:r>
        <w:rPr>
          <w:u w:val="single"/>
        </w:rPr>
        <w:t>Domestic Corporation</w:t>
      </w:r>
      <w:r>
        <w:rPr/>
        <w:t>”) shall deliver to Buyer at Closing an affidavit (a “</w:t>
      </w:r>
      <w:r>
        <w:rPr>
          <w:u w:val="single"/>
        </w:rPr>
        <w:t>FIRPTA Affidavit</w:t>
      </w:r>
      <w:r>
        <w:rPr/>
        <w:t>”), in form and substance reasonably satisfactory to Buyer, duly executed and acknowledged, certifying that such Seller is a Domestic Corporation.  Sellers shall deliver to Buyer at Closing an affidavit, in form and substance reasonably satisfactory to Buyer, duly executed and acknowledged, certifying, for purposes of section 897 of the Code, that each Asset that is a United States real property interest within the meaning of section 897(c) of the Code is and has been held by, and will be transferred to the Buyer by, a Domestic Corporation.</w:t>
      </w:r>
    </w:p>
    <w:p>
      <w:pPr>
        <w:pStyle w:val="Heading3"/>
        <w:numPr>
          <w:ilvl w:val="2"/>
          <w:numId w:val="12"/>
        </w:numPr>
        <w:ind w:hanging="0" w:start="0"/>
        <w:rPr/>
      </w:pPr>
      <w:r>
        <w:rPr/>
        <w:t>Buyer and Sellers shall, and shall cause their respective Affiliates to, cooperate with respect to any Tax matters relating to the Business, the Assets, or the Assumed Liabilities.</w:t>
      </w:r>
    </w:p>
    <w:p>
      <w:pPr>
        <w:pStyle w:val="Heading3"/>
        <w:numPr>
          <w:ilvl w:val="2"/>
          <w:numId w:val="12"/>
        </w:numPr>
        <w:ind w:hanging="0" w:start="0"/>
        <w:rPr/>
      </w:pPr>
      <w:r>
        <w:rPr/>
        <w:t>In the case of any Return with respect to a Straddle Period required to be filed by Buyer after the Closing Date, Sellers shall pay Buyer, the amount of any Excluded Tax that is or would be payable with respect to such Return at least five Business Days prior to the earlier of the date such Return is required to be filed or payment is due.</w:t>
      </w:r>
    </w:p>
    <w:p>
      <w:pPr>
        <w:pStyle w:val="Heading3"/>
        <w:numPr>
          <w:ilvl w:val="2"/>
          <w:numId w:val="12"/>
        </w:numPr>
        <w:ind w:hanging="0" w:start="0"/>
        <w:rPr/>
      </w:pPr>
      <w:r>
        <w:rPr/>
        <w:t>For purposes of this Agreement, in the case of any Straddle Period, (i) Property Taxes for the Pre-Closing Tax Period shall be equal to the amount of such Property Taxes for the entire Straddle Period multiplied by a fraction, the numerator of which is the number of days during the Straddle Period that are in the Pre-Closing Tax Period and the denominator of which is the number of days in the entire Straddle Period, and (ii) Taxes (other than Property Taxes) for the Pre-Closing Tax Period shall be computed as if such taxable period ended as of the close of business on the Closing Date.</w:t>
      </w:r>
    </w:p>
    <w:p>
      <w:pPr>
        <w:pStyle w:val="Heading2"/>
        <w:keepNext w:val="true"/>
        <w:numPr>
          <w:ilvl w:val="1"/>
          <w:numId w:val="12"/>
        </w:numPr>
        <w:ind w:hanging="0" w:start="0"/>
        <w:rPr>
          <w:lang w:val="en-CA" w:eastAsia="en-US"/>
        </w:rPr>
      </w:pPr>
      <w:r>
        <w:rPr>
          <w:u w:val="single"/>
        </w:rPr>
        <w:t>Canadian Tax Matters</w:t>
      </w:r>
      <w:r>
        <w:fldChar w:fldCharType="begin"/>
      </w:r>
      <w:r>
        <w:rPr/>
        <w:instrText xml:space="preserve"> TC "Section 7.3</w:instrText>
        <w:tab/>
        <w:instrText xml:space="preserve">Canadian Tax Matters</w:instrText>
        <w:tab/>
        <w:instrText xml:space="preserve">“ \f C \l “2" \l 1 </w:instrText>
      </w:r>
      <w:r>
        <w:rPr/>
        <w:fldChar w:fldCharType="separate"/>
      </w:r>
      <w:r>
        <w:rPr/>
      </w:r>
      <w:r>
        <w:rPr/>
        <w:fldChar w:fldCharType="end"/>
      </w:r>
      <w:bookmarkStart w:id="74" w:name="__RefHeading___Toc535051594"/>
      <w:bookmarkEnd w:id="74"/>
      <w:r>
        <w:rPr/>
        <w:t>.</w:t>
      </w:r>
      <w:r>
        <w:rPr>
          <w:lang w:eastAsia="en-US"/>
        </w:rPr>
        <w:t xml:space="preserve"> </w:t>
      </w:r>
    </w:p>
    <w:p>
      <w:pPr>
        <w:pStyle w:val="Heading3"/>
        <w:numPr>
          <w:ilvl w:val="2"/>
          <w:numId w:val="12"/>
        </w:numPr>
        <w:ind w:hanging="0" w:start="0"/>
        <w:rPr>
          <w:b/>
          <w:lang w:val="en-CA" w:eastAsia="en-US"/>
        </w:rPr>
      </w:pPr>
      <w:r>
        <w:rPr>
          <w:lang w:eastAsia="en-US"/>
        </w:rPr>
        <w:t>The Canadian Buyer and each Canadian Seller are duly registered under Subdivision V of Part IX of the</w:t>
      </w:r>
      <w:r>
        <w:rPr>
          <w:lang w:val="en-CA" w:eastAsia="en-US"/>
        </w:rPr>
        <w:t xml:space="preserve"> </w:t>
      </w:r>
      <w:r>
        <w:rPr>
          <w:u w:val="single"/>
          <w:lang w:val="en-CA" w:eastAsia="en-US"/>
        </w:rPr>
        <w:t>Excise Tax Act</w:t>
      </w:r>
      <w:r>
        <w:rPr>
          <w:lang w:val="en-CA" w:eastAsia="en-US"/>
        </w:rPr>
        <w:t xml:space="preserve"> (Canada) with respect to the goods and services tax and harmonized </w:t>
      </w:r>
      <w:r>
        <w:rPr/>
        <w:t>sales</w:t>
      </w:r>
      <w:r>
        <w:rPr>
          <w:lang w:val="en-CA" w:eastAsia="en-US"/>
        </w:rPr>
        <w:t xml:space="preserve"> tax </w:t>
      </w:r>
      <w:r>
        <w:rPr>
          <w:b/>
          <w:lang w:val="en-CA" w:eastAsia="en-US"/>
        </w:rPr>
        <w:t xml:space="preserve">[and under Division I of Chapter VIII of Title I of the </w:t>
      </w:r>
      <w:r>
        <w:rPr>
          <w:b/>
          <w:u w:val="single"/>
          <w:lang w:val="en-CA" w:eastAsia="en-US"/>
        </w:rPr>
        <w:t>Quebec Sales Tax Act</w:t>
      </w:r>
      <w:r>
        <w:rPr>
          <w:b/>
          <w:lang w:val="en-CA" w:eastAsia="en-US"/>
        </w:rPr>
        <w:t xml:space="preserve"> with respect to the Quebec sales tax,]</w:t>
      </w:r>
      <w:r>
        <w:rPr>
          <w:lang w:val="en-CA" w:eastAsia="en-US"/>
        </w:rPr>
        <w:t xml:space="preserve"> and its registration number is </w:t>
      </w:r>
      <w:r>
        <w:rPr>
          <w:b/>
          <w:lang w:val="en-CA" w:eastAsia="en-US"/>
        </w:rPr>
        <w:t>[numbers are]</w:t>
      </w:r>
      <w:r>
        <w:rPr>
          <w:lang w:val="en-CA" w:eastAsia="en-US"/>
        </w:rPr>
        <w:t xml:space="preserve">: </w:t>
      </w:r>
      <w:r>
        <w:rPr>
          <w:b/>
          <w:lang w:val="en-CA" w:eastAsia="en-US"/>
        </w:rPr>
        <w:t>[insert]</w:t>
      </w:r>
    </w:p>
    <w:p>
      <w:pPr>
        <w:pStyle w:val="Heading3"/>
        <w:numPr>
          <w:ilvl w:val="2"/>
          <w:numId w:val="12"/>
        </w:numPr>
        <w:ind w:hanging="0" w:start="0"/>
        <w:rPr>
          <w:lang w:val="en-CA" w:eastAsia="en-US"/>
        </w:rPr>
      </w:pPr>
      <w:r>
        <w:rPr>
          <w:lang w:val="en-CA" w:eastAsia="en-US"/>
        </w:rPr>
        <w:t xml:space="preserve">The Canadian Buyer shall have received evidence satisfactory to it that the provisions of the </w:t>
      </w:r>
      <w:r>
        <w:rPr>
          <w:u w:val="single"/>
          <w:lang w:val="en-CA" w:eastAsia="en-US"/>
        </w:rPr>
        <w:t>Bulk Sales Act</w:t>
      </w:r>
      <w:r>
        <w:rPr>
          <w:lang w:val="en-CA" w:eastAsia="en-US"/>
        </w:rPr>
        <w:t xml:space="preserve"> (Ontario), section 6 of the </w:t>
      </w:r>
      <w:r>
        <w:rPr>
          <w:u w:val="single"/>
          <w:lang w:val="en-CA" w:eastAsia="en-US"/>
        </w:rPr>
        <w:t>Retail Sales Tax Act</w:t>
      </w:r>
      <w:r>
        <w:rPr>
          <w:lang w:val="en-CA" w:eastAsia="en-US"/>
        </w:rPr>
        <w:t xml:space="preserve"> (Ontario) and any other bulk sales or retail sales tax legislation as such may apply in respect of the purchase and sale of the Canadian Assets pursuant to this Agreement, have been complied with.</w:t>
      </w:r>
    </w:p>
    <w:p>
      <w:pPr>
        <w:pStyle w:val="Heading3"/>
        <w:numPr>
          <w:ilvl w:val="2"/>
          <w:numId w:val="12"/>
        </w:numPr>
        <w:ind w:hanging="0" w:start="0"/>
        <w:rPr>
          <w:lang w:eastAsia="en-US"/>
        </w:rPr>
      </w:pPr>
      <w:r>
        <w:rPr>
          <w:lang w:eastAsia="en-US"/>
        </w:rPr>
        <w:t xml:space="preserve">Each Canadian Seller and the Canadian Buyer shall jointly elect under subsection 167(1) of Part IX of the </w:t>
      </w:r>
      <w:r>
        <w:rPr>
          <w:u w:val="single"/>
          <w:lang w:eastAsia="en-US"/>
        </w:rPr>
        <w:t>Excise Tax Act</w:t>
      </w:r>
      <w:r>
        <w:rPr>
          <w:lang w:eastAsia="en-US"/>
        </w:rPr>
        <w:t xml:space="preserve"> (Canada), section 75 of the </w:t>
      </w:r>
      <w:r>
        <w:rPr>
          <w:u w:val="single"/>
          <w:lang w:eastAsia="en-US"/>
        </w:rPr>
        <w:t>Quebec Sales Tax Act</w:t>
      </w:r>
      <w:r>
        <w:rPr>
          <w:lang w:eastAsia="en-US"/>
        </w:rPr>
        <w:t xml:space="preserve">, and any other provincial legislation imposing a similar value-added or multi-staged tax, that no tax be payable with respect to the sale and purchase of Assets by the Canadian Buyer pursuant to this Agreement.  Each Canadian Seller and the Canadian Buyer shall make such elections in the prescribed form containing prescribed information and the Canadian Buyer shall file such joint elections in compliance with the requirements of the applicable legislation.  Notwithstanding such elections, the Sellers shall be responsible for any taxes otherwise imposed under the </w:t>
      </w:r>
      <w:r>
        <w:rPr>
          <w:u w:val="single"/>
          <w:lang w:eastAsia="en-US"/>
        </w:rPr>
        <w:t>Excise Tax Act</w:t>
      </w:r>
      <w:r>
        <w:rPr>
          <w:i/>
          <w:lang w:eastAsia="en-US"/>
        </w:rPr>
        <w:t xml:space="preserve"> </w:t>
      </w:r>
      <w:r>
        <w:rPr>
          <w:lang w:eastAsia="en-US"/>
        </w:rPr>
        <w:t xml:space="preserve">(Canada) or the </w:t>
      </w:r>
      <w:r>
        <w:rPr>
          <w:u w:val="single"/>
          <w:lang w:eastAsia="en-US"/>
        </w:rPr>
        <w:t>Quebec Sales Tax Act</w:t>
      </w:r>
      <w:r>
        <w:rPr>
          <w:i/>
          <w:lang w:eastAsia="en-US"/>
        </w:rPr>
        <w:t xml:space="preserve"> </w:t>
      </w:r>
      <w:r>
        <w:rPr>
          <w:lang w:eastAsia="en-US"/>
        </w:rPr>
        <w:t>or any other similar provincial legislation in respect of the purchase of Assets under this Agreement.</w:t>
      </w:r>
    </w:p>
    <w:p>
      <w:pPr>
        <w:pStyle w:val="Heading3"/>
        <w:numPr>
          <w:ilvl w:val="2"/>
          <w:numId w:val="12"/>
        </w:numPr>
        <w:ind w:hanging="0" w:start="0"/>
        <w:rPr>
          <w:lang w:eastAsia="en-US"/>
        </w:rPr>
      </w:pPr>
      <w:r>
        <w:rPr>
          <w:lang w:eastAsia="en-US"/>
        </w:rPr>
        <w:t>No failure, if any, by the Sellers to duly and timely pay all taxes, including installments on account of Taxes for the current year that are due and payable by them, will result in an Encumbrance on the Assets.</w:t>
      </w:r>
    </w:p>
    <w:p>
      <w:pPr>
        <w:pStyle w:val="Heading3"/>
        <w:numPr>
          <w:ilvl w:val="2"/>
          <w:numId w:val="12"/>
        </w:numPr>
        <w:ind w:hanging="0" w:start="0"/>
        <w:rPr>
          <w:lang w:eastAsia="en-US"/>
        </w:rPr>
      </w:pPr>
      <w:r>
        <w:rPr>
          <w:lang w:eastAsia="en-US"/>
        </w:rPr>
        <w:t>There are no actions, suits, proceedings, investigations, audits or claims now pending or (to the knowledge of the Sellers) threatened against the Sellers in respect of Taxes, and there are no matters under discussion, audit or appeal with any Governmental Authority relating to Taxes, that will result in an Encumbrance on any Asset.</w:t>
      </w:r>
    </w:p>
    <w:p>
      <w:pPr>
        <w:pStyle w:val="Heading3"/>
        <w:numPr>
          <w:ilvl w:val="2"/>
          <w:numId w:val="12"/>
        </w:numPr>
        <w:ind w:hanging="0" w:start="0"/>
        <w:rPr/>
      </w:pPr>
      <w:r>
        <w:rPr>
          <w:lang w:eastAsia="en-US"/>
        </w:rPr>
        <w:t>The Sellers have duly and timely withheld from any amount paid or credited by them to or for the account of any Person (including employees, officers or directors) the full amount of all Taxes and other deductions required under Applicable Laws to be withheld from any such amount, and have duly and timely remitted the same to the appropriate Governmental Authority.</w:t>
      </w:r>
    </w:p>
    <w:p>
      <w:pPr>
        <w:pStyle w:val="Heading1"/>
        <w:numPr>
          <w:ilvl w:val="0"/>
          <w:numId w:val="12"/>
        </w:numPr>
        <w:ind w:hanging="0" w:start="0"/>
        <w:rPr/>
      </w:pPr>
      <w:r>
        <w:rPr/>
        <w:br/>
        <w:br/>
        <w:t>Conditions of Buyer’s Obligation to Close</w:t>
      </w:r>
      <w:r>
        <w:fldChar w:fldCharType="begin"/>
      </w:r>
      <w:r>
        <w:rPr/>
        <w:instrText xml:space="preserve"> TC "ARTICLE 8_x000b__x000b_Conditions of Buyer’s Obligation to Close" \l 1 </w:instrText>
      </w:r>
      <w:r>
        <w:rPr/>
        <w:fldChar w:fldCharType="separate"/>
      </w:r>
      <w:r>
        <w:rPr/>
      </w:r>
      <w:r>
        <w:rPr/>
        <w:fldChar w:fldCharType="end"/>
      </w:r>
    </w:p>
    <w:p>
      <w:pPr>
        <w:pStyle w:val="BodyText"/>
        <w:rPr/>
      </w:pPr>
      <w:r>
        <w:rPr/>
        <w:t>Buyer’s obligation to consummate the Asset Purchase and the transactions contemplated hereby shall be subject to the satisfaction on or prior to the Closing Date of all of the following conditions (each of which may be waived, in whole or in part, by Buyer, in its sole discretion, to the extent permitted by Applicable Law):</w:t>
      </w:r>
    </w:p>
    <w:p>
      <w:pPr>
        <w:pStyle w:val="Heading2"/>
        <w:numPr>
          <w:ilvl w:val="1"/>
          <w:numId w:val="12"/>
        </w:numPr>
        <w:ind w:hanging="0" w:start="0"/>
        <w:rPr/>
      </w:pPr>
      <w:r>
        <w:rPr>
          <w:u w:val="single"/>
        </w:rPr>
        <w:t>Representations, Warranties and Covenants of Sellers</w:t>
      </w:r>
      <w:r>
        <w:fldChar w:fldCharType="begin"/>
      </w:r>
      <w:r>
        <w:rPr/>
        <w:instrText xml:space="preserve"> TC "Section 8.1</w:instrText>
        <w:tab/>
        <w:instrText xml:space="preserve">Representations, Warranties and Covenants of Sellers</w:instrText>
        <w:tab/>
        <w:instrText xml:space="preserve">“ \f C \l “2" \l 1 </w:instrText>
      </w:r>
      <w:r>
        <w:rPr/>
        <w:fldChar w:fldCharType="separate"/>
      </w:r>
      <w:r>
        <w:rPr/>
      </w:r>
      <w:r>
        <w:rPr/>
        <w:fldChar w:fldCharType="end"/>
      </w:r>
      <w:bookmarkStart w:id="75" w:name="__RefHeading___Toc535051595"/>
      <w:bookmarkEnd w:id="75"/>
      <w:r>
        <w:rPr/>
        <w:t>.  Each Seller shall have performed in all material respects its covenants and agreements under this Agreement; each of the representations and warranties of each Seller set forth in this Agreement shall be true and correct when made and at and as of the Closing as if made at and as of such time (except for representations and warranties that are expressly made as of a specific time, which shall be true and correct only as of such time) with such exceptions that would not, individually or in the aggregate, be reasonably likely to (1) have a material adverse effect on the ability of Sellers to perform their obligations under the agreement, or (2) materially impair the ability of Buyer to operate the Assets of the Business as operated during the third quarter of 2001 (without reference to the results of the Business in such quarter), or (3) materially impair the value of the Assets; and Buyer shall have received a certificate of the Chief Executive Officer or a Vice President of Enron to that effect.</w:t>
      </w:r>
    </w:p>
    <w:p>
      <w:pPr>
        <w:pStyle w:val="Heading2"/>
        <w:numPr>
          <w:ilvl w:val="1"/>
          <w:numId w:val="23"/>
        </w:numPr>
        <w:rPr/>
      </w:pPr>
      <w:r>
        <w:rPr>
          <w:u w:val="single"/>
        </w:rPr>
        <w:t>Consents; Waiting Periods</w:t>
      </w:r>
      <w:r>
        <w:fldChar w:fldCharType="begin"/>
      </w:r>
      <w:r>
        <w:rPr/>
        <w:instrText xml:space="preserve"> TC "Section 8.2</w:instrText>
        <w:tab/>
        <w:instrText xml:space="preserve">Consents; Waiting Periods</w:instrText>
        <w:tab/>
        <w:instrText xml:space="preserve">“ \f C \l “2" \l 1 </w:instrText>
      </w:r>
      <w:r>
        <w:rPr/>
        <w:fldChar w:fldCharType="separate"/>
      </w:r>
      <w:r>
        <w:rPr/>
      </w:r>
      <w:r>
        <w:rPr/>
        <w:fldChar w:fldCharType="end"/>
      </w:r>
      <w:bookmarkStart w:id="76" w:name="__RefHeading___Toc535051596"/>
      <w:bookmarkEnd w:id="76"/>
      <w:r>
        <w:rPr/>
        <w:t>.  Sellers shall have obtained and shall have delivered to Buyer copies of (</w:t>
      </w:r>
      <w:r>
        <w:rPr>
          <w:lang w:val="en-CA"/>
        </w:rPr>
        <w:t>i</w:t>
      </w:r>
      <w:r>
        <w:rPr/>
        <w:t xml:space="preserve">) all Governmental Approvals required to be obtained by Sellers in connection with the execution and delivery of this Agreement and the consummation of the transactions contemplated hereby, and (ii) all Consents as are necessary in order to consummate the Asset Purchase, including all those as may be material in order to obtain the benefit of the Assets, in each case listed on </w:t>
      </w:r>
      <w:r>
        <w:rPr>
          <w:u w:val="single"/>
        </w:rPr>
        <w:t>Schedule 8.2(a)</w:t>
      </w:r>
      <w:r>
        <w:rPr/>
        <w:t xml:space="preserve">.]  </w:t>
      </w:r>
      <w:r>
        <w:rPr>
          <w:b/>
        </w:rPr>
        <w:t>[NB:  Subject to Buyer’s review of Schedule 3.2, Buyer may be willing to delete Section 8.2.]</w:t>
      </w:r>
      <w:r>
        <w:rPr/>
        <w:t xml:space="preserve">  </w:t>
      </w:r>
    </w:p>
    <w:p>
      <w:pPr>
        <w:pStyle w:val="Heading2"/>
        <w:numPr>
          <w:ilvl w:val="1"/>
          <w:numId w:val="12"/>
        </w:numPr>
        <w:ind w:hanging="0" w:start="0"/>
        <w:rPr/>
      </w:pPr>
      <w:r>
        <w:rPr>
          <w:u w:val="single"/>
        </w:rPr>
        <w:t>No Injunction</w:t>
      </w:r>
      <w:r>
        <w:fldChar w:fldCharType="begin"/>
      </w:r>
      <w:r>
        <w:rPr/>
        <w:instrText xml:space="preserve"> TC "Section 8.3</w:instrText>
        <w:tab/>
        <w:instrText xml:space="preserve">No Injunction</w:instrText>
        <w:tab/>
        <w:instrText xml:space="preserve">“ \f C \l “2" \l 1 </w:instrText>
      </w:r>
      <w:r>
        <w:rPr/>
        <w:fldChar w:fldCharType="separate"/>
      </w:r>
      <w:r>
        <w:rPr/>
      </w:r>
      <w:r>
        <w:rPr/>
        <w:fldChar w:fldCharType="end"/>
      </w:r>
      <w:bookmarkStart w:id="77" w:name="__RefHeading___Toc535051597"/>
      <w:bookmarkEnd w:id="77"/>
      <w:r>
        <w:rPr/>
        <w:t>.  There shall not (</w:t>
      </w:r>
      <w:r>
        <w:rPr>
          <w:lang w:val="en-CA"/>
        </w:rPr>
        <w:t>a</w:t>
      </w:r>
      <w:r>
        <w:rPr/>
        <w:t>) be in effect any injunction, order or decree, restraining, enjoining or otherwise preventing, or materially restricting, consummation of the transactions contemplated by this Agreement, or (</w:t>
      </w:r>
      <w:r>
        <w:rPr>
          <w:lang w:val="en-CA"/>
        </w:rPr>
        <w:t>b</w:t>
      </w:r>
      <w:r>
        <w:rPr/>
        <w:t>) be any Actions pending or threatened by any Governmental Authority, that could reasonably be expected to have any of the effects set forth in clause (a).</w:t>
      </w:r>
    </w:p>
    <w:p>
      <w:pPr>
        <w:pStyle w:val="Heading2"/>
        <w:keepNext w:val="true"/>
        <w:numPr>
          <w:ilvl w:val="1"/>
          <w:numId w:val="12"/>
        </w:numPr>
        <w:ind w:hanging="0" w:start="0"/>
        <w:rPr/>
      </w:pPr>
      <w:r>
        <w:rPr>
          <w:u w:val="single"/>
        </w:rPr>
        <w:t>Bankruptcy Court Related Conditions</w:t>
      </w:r>
      <w:r>
        <w:fldChar w:fldCharType="begin"/>
      </w:r>
      <w:r>
        <w:rPr/>
        <w:instrText xml:space="preserve"> TC "Section 8.4</w:instrText>
        <w:tab/>
        <w:instrText xml:space="preserve">Bankruptcy Court Related Conditions</w:instrText>
        <w:tab/>
        <w:instrText xml:space="preserve">“ \f C \l “2" \l 1 </w:instrText>
      </w:r>
      <w:r>
        <w:rPr/>
        <w:fldChar w:fldCharType="separate"/>
      </w:r>
      <w:r>
        <w:rPr/>
      </w:r>
      <w:r>
        <w:rPr/>
        <w:fldChar w:fldCharType="end"/>
      </w:r>
      <w:bookmarkStart w:id="78" w:name="__RefHeading___Toc535051598"/>
      <w:bookmarkEnd w:id="78"/>
      <w:r>
        <w:rPr/>
        <w:t>.</w:t>
      </w:r>
    </w:p>
    <w:p>
      <w:pPr>
        <w:pStyle w:val="Heading3"/>
        <w:numPr>
          <w:ilvl w:val="2"/>
          <w:numId w:val="12"/>
        </w:numPr>
        <w:ind w:hanging="0" w:start="0"/>
        <w:rPr/>
      </w:pPr>
      <w:r>
        <w:rPr/>
        <w:t>The Bankruptcy Court shall have entered an order or orders on terms and conditions satisfactory to Buyer and Sellers (the “</w:t>
      </w:r>
      <w:r>
        <w:rPr>
          <w:u w:val="single"/>
        </w:rPr>
        <w:t>Bankruptcy Court Approval</w:t>
      </w:r>
      <w:r>
        <w:rPr/>
        <w:t xml:space="preserve">”), which such order shall have become a Final Order, that, among other things, (i) approves, pursuant to section 363(b) of the Bankruptcy Code, (A) the execution, delivery and performance by Sellers of this Agreement, including each and every term and condition hereof, and the other instruments and agreements contemplated hereby, (B) the sale of the Assets to Buyer on the terms set forth herein, and (C) the performance by Sellers of their respective obligations under this Agreement; and (ii) finds that Buyer is a “good faith” purchaser within the meaning of section 363(m) of the Bankruptcy Code (including such protection as Buyer may reasonably request, including that the Assets be free and clear of all Encumbrances, any and all of which shall attach to the proceeds of the sale, and free of clear of all Liabilities). </w:t>
      </w:r>
    </w:p>
    <w:p>
      <w:pPr>
        <w:pStyle w:val="Heading3"/>
        <w:numPr>
          <w:ilvl w:val="2"/>
          <w:numId w:val="16"/>
        </w:numPr>
        <w:rPr/>
      </w:pPr>
      <w:r>
        <w:rPr/>
        <w:t>Sellers shall have delivered to Buyer (i) a certified copy of the order providing for Bankruptcy Court Approval, and (ii) copies of all affidavits of service of Sellers’ motion seeking Bankruptcy Court Approval or notice of such motion filed by or on behalf of Sellers in the Bankruptcy Cases.</w:t>
      </w:r>
    </w:p>
    <w:p>
      <w:pPr>
        <w:pStyle w:val="Heading3"/>
        <w:numPr>
          <w:ilvl w:val="2"/>
          <w:numId w:val="12"/>
        </w:numPr>
        <w:ind w:hanging="0" w:start="0"/>
        <w:rPr/>
      </w:pPr>
      <w:r>
        <w:rPr/>
        <w:t>The Bankruptcy Court shall have entered an order, which order shall have become a Final Order, approving the assumption by the Filing Sellers and the assignment to Buyer of the Assumed Contracts pursuant to Section 365 of the Bankruptcy Code.</w:t>
      </w:r>
    </w:p>
    <w:p>
      <w:pPr>
        <w:pStyle w:val="Heading2"/>
        <w:numPr>
          <w:ilvl w:val="1"/>
          <w:numId w:val="12"/>
        </w:numPr>
        <w:ind w:hanging="0" w:start="0"/>
        <w:rPr/>
      </w:pPr>
      <w:r>
        <w:rPr>
          <w:u w:val="single"/>
        </w:rPr>
        <w:t>Employees</w:t>
      </w:r>
      <w:r>
        <w:fldChar w:fldCharType="begin"/>
      </w:r>
      <w:r>
        <w:rPr/>
        <w:instrText xml:space="preserve"> TC "Section 8.5</w:instrText>
        <w:tab/>
        <w:instrText xml:space="preserve">Employees</w:instrText>
        <w:tab/>
        <w:instrText xml:space="preserve">“ \f C \l “2" \l 1 </w:instrText>
      </w:r>
      <w:r>
        <w:rPr/>
        <w:fldChar w:fldCharType="separate"/>
      </w:r>
      <w:r>
        <w:rPr/>
      </w:r>
      <w:r>
        <w:rPr/>
        <w:fldChar w:fldCharType="end"/>
      </w:r>
      <w:bookmarkStart w:id="79" w:name="__RefHeading___Toc535051599"/>
      <w:bookmarkEnd w:id="79"/>
      <w:r>
        <w:rPr/>
        <w:t xml:space="preserve">.  </w:t>
      </w:r>
      <w:r>
        <w:rPr>
          <w:lang w:eastAsia="en-US"/>
        </w:rPr>
        <w:t xml:space="preserve">Prior to the Closing, Buyer or its Affiliate shall have entered into retention agreements with (a) each of the three individuals listed on </w:t>
      </w:r>
      <w:r>
        <w:rPr>
          <w:u w:val="single"/>
          <w:lang w:eastAsia="en-US"/>
        </w:rPr>
        <w:t>Schedule 8.5(a)</w:t>
      </w:r>
      <w:r>
        <w:rPr>
          <w:lang w:eastAsia="en-US"/>
        </w:rPr>
        <w:t xml:space="preserve">, (b) no less than of the 11 of the 13 individuals listed on </w:t>
      </w:r>
      <w:r>
        <w:rPr>
          <w:u w:val="single"/>
          <w:lang w:eastAsia="en-US"/>
        </w:rPr>
        <w:t>Schedule 8.5(b)</w:t>
      </w:r>
      <w:r>
        <w:rPr>
          <w:lang w:eastAsia="en-US"/>
        </w:rPr>
        <w:t xml:space="preserve">, </w:t>
      </w:r>
      <w:r>
        <w:rPr>
          <w:u w:val="single"/>
          <w:lang w:eastAsia="en-US"/>
        </w:rPr>
        <w:t>provided</w:t>
      </w:r>
      <w:r>
        <w:rPr>
          <w:lang w:eastAsia="en-US"/>
        </w:rPr>
        <w:t xml:space="preserve">, that if fewer than all 13 such individuals (but not fewer than 11) shall have entered into such retention agreements, Buyer shall have entered into retention with one or two individuals proposed by Seller and reasonably acceptable to Buyer as substitutes, and (b) 80% of each of the two groups of the individuals set forth in separate columns on </w:t>
      </w:r>
      <w:r>
        <w:rPr>
          <w:u w:val="single"/>
          <w:lang w:eastAsia="en-US"/>
        </w:rPr>
        <w:t>Schedule 8.5(c)</w:t>
      </w:r>
      <w:r>
        <w:rPr>
          <w:lang w:eastAsia="en-US"/>
        </w:rPr>
        <w:t>, in each case, in substantially the form included in such Schedules, and such minimum number of individuals shall not have terminated their employment with Sellers and/or provided notice to Buyer that they do not intend to honor their retention agreements as of the Closing.  All such minimum number of agreements shall be in full force and effect as of the Closing.</w:t>
      </w:r>
    </w:p>
    <w:p>
      <w:pPr>
        <w:pStyle w:val="Heading2"/>
        <w:numPr>
          <w:ilvl w:val="1"/>
          <w:numId w:val="12"/>
        </w:numPr>
        <w:ind w:hanging="0" w:start="0"/>
        <w:rPr/>
      </w:pPr>
      <w:r>
        <w:rPr>
          <w:u w:val="single"/>
        </w:rPr>
        <w:t>Cure of Defaults</w:t>
      </w:r>
      <w:r>
        <w:fldChar w:fldCharType="begin"/>
      </w:r>
      <w:r>
        <w:rPr/>
        <w:instrText xml:space="preserve"> TC "Section 8.6</w:instrText>
        <w:tab/>
        <w:instrText xml:space="preserve">Cure of Defaults</w:instrText>
        <w:tab/>
        <w:instrText xml:space="preserve">“ \f C \l “2" \l 1 </w:instrText>
      </w:r>
      <w:r>
        <w:rPr/>
        <w:fldChar w:fldCharType="separate"/>
      </w:r>
      <w:r>
        <w:rPr/>
      </w:r>
      <w:r>
        <w:rPr/>
        <w:fldChar w:fldCharType="end"/>
      </w:r>
      <w:bookmarkStart w:id="80" w:name="__RefHeading___Toc535051600"/>
      <w:bookmarkEnd w:id="80"/>
      <w:r>
        <w:rPr/>
        <w:t>.  Sellers shall have paid all the costs of curing defaults of Sellers under the executory contracts to be assumed by Buyer at the Closing (other than any employment, non-solicit and non-competition agreements with current or former employees of Sellers that Buyer has elected to assume at Closing, as to which Buyer shall be responsible to pay all such costs of curing defaults).</w:t>
      </w:r>
    </w:p>
    <w:p>
      <w:pPr>
        <w:pStyle w:val="Heading2"/>
        <w:numPr>
          <w:ilvl w:val="1"/>
          <w:numId w:val="12"/>
        </w:numPr>
        <w:ind w:hanging="0" w:start="0"/>
        <w:rPr/>
      </w:pPr>
      <w:r>
        <w:rPr>
          <w:u w:val="single"/>
        </w:rPr>
        <w:t>Related Agreements</w:t>
      </w:r>
      <w:r>
        <w:fldChar w:fldCharType="begin"/>
      </w:r>
      <w:r>
        <w:rPr/>
        <w:instrText xml:space="preserve"> TC "Section 8.7</w:instrText>
        <w:tab/>
        <w:instrText xml:space="preserve">Related Agreements</w:instrText>
        <w:tab/>
        <w:instrText xml:space="preserve">“ \f C \l “2" \l 1 </w:instrText>
      </w:r>
      <w:r>
        <w:rPr/>
        <w:fldChar w:fldCharType="separate"/>
      </w:r>
      <w:r>
        <w:rPr/>
      </w:r>
      <w:r>
        <w:rPr/>
        <w:fldChar w:fldCharType="end"/>
      </w:r>
      <w:bookmarkStart w:id="81" w:name="__RefHeading___Toc535051601"/>
      <w:bookmarkEnd w:id="81"/>
      <w:r>
        <w:rPr/>
        <w:t xml:space="preserve">.  Seller shall have delivered duly executed counterparts to (a) the License Agreements, (b) the Houston Lease and (c) the Transition Services Agreement.  </w:t>
      </w:r>
    </w:p>
    <w:p>
      <w:pPr>
        <w:pStyle w:val="Heading1"/>
        <w:numPr>
          <w:ilvl w:val="0"/>
          <w:numId w:val="12"/>
        </w:numPr>
        <w:ind w:hanging="0" w:start="0"/>
        <w:rPr/>
      </w:pPr>
      <w:r>
        <w:rPr/>
        <w:br/>
        <w:br/>
        <w:t>Conditions of Sellers’ Obligation to Close</w:t>
      </w:r>
      <w:r>
        <w:fldChar w:fldCharType="begin"/>
      </w:r>
      <w:r>
        <w:rPr/>
        <w:instrText xml:space="preserve"> TC "ARTICLE 9_x000b__x000b_Conditions of Sellers’ Obligation to Close" \l 1 </w:instrText>
      </w:r>
      <w:r>
        <w:rPr/>
        <w:fldChar w:fldCharType="separate"/>
      </w:r>
      <w:r>
        <w:rPr/>
      </w:r>
      <w:r>
        <w:rPr/>
        <w:fldChar w:fldCharType="end"/>
      </w:r>
    </w:p>
    <w:p>
      <w:pPr>
        <w:pStyle w:val="BodyText"/>
        <w:rPr/>
      </w:pPr>
      <w:r>
        <w:rPr/>
        <w:t>The obligation of the Sellers to consummate the transactions contemplated hereby shall be subject to the satisfaction on or prior to the Closing Date, of all of the following conditions (each of which may be waived, in whole or in part, solely by Enron, in its sole discretion, to the extent permitted by Applicable Law):</w:t>
      </w:r>
    </w:p>
    <w:p>
      <w:pPr>
        <w:pStyle w:val="Heading2"/>
        <w:numPr>
          <w:ilvl w:val="1"/>
          <w:numId w:val="12"/>
        </w:numPr>
        <w:ind w:hanging="0" w:start="0"/>
        <w:rPr/>
      </w:pPr>
      <w:r>
        <w:rPr>
          <w:u w:val="single"/>
        </w:rPr>
        <w:t>Representations, Warranties and Covenants of Buyer</w:t>
      </w:r>
      <w:r>
        <w:fldChar w:fldCharType="begin"/>
      </w:r>
      <w:r>
        <w:rPr/>
        <w:instrText xml:space="preserve"> TC "Section 9.1</w:instrText>
        <w:tab/>
        <w:instrText xml:space="preserve">Representations, Warranties and Covenants of Buyer</w:instrText>
        <w:tab/>
        <w:instrText xml:space="preserve">“ \f C \l “2" \l 1 </w:instrText>
      </w:r>
      <w:r>
        <w:rPr/>
        <w:fldChar w:fldCharType="separate"/>
      </w:r>
      <w:r>
        <w:rPr/>
      </w:r>
      <w:r>
        <w:rPr/>
        <w:fldChar w:fldCharType="end"/>
      </w:r>
      <w:bookmarkStart w:id="82" w:name="__RefHeading___Toc535051602"/>
      <w:bookmarkEnd w:id="82"/>
      <w:r>
        <w:rPr/>
        <w:t>.  Buyer shall have performed in all material respects its covenants and agreements under this Agreement, and each of the representations and warranties of Buyer set forth in this Agreement shall be true and correct in all material respects when made at and as of the Closing as if made as at and as of such time; and Enron shall have received certificates of a Vice President of Buyer to that effect.</w:t>
      </w:r>
    </w:p>
    <w:p>
      <w:pPr>
        <w:pStyle w:val="Heading2"/>
        <w:numPr>
          <w:ilvl w:val="1"/>
          <w:numId w:val="12"/>
        </w:numPr>
        <w:ind w:hanging="0" w:start="0"/>
        <w:rPr/>
      </w:pPr>
      <w:r>
        <w:rPr>
          <w:u w:val="single"/>
        </w:rPr>
        <w:t>No Injunction</w:t>
      </w:r>
      <w:r>
        <w:fldChar w:fldCharType="begin"/>
      </w:r>
      <w:r>
        <w:rPr/>
        <w:instrText xml:space="preserve"> TC "Section 9.2</w:instrText>
        <w:tab/>
        <w:instrText xml:space="preserve">No Injunction</w:instrText>
        <w:tab/>
        <w:instrText xml:space="preserve">“ \f C \l “2" \l 1 </w:instrText>
      </w:r>
      <w:r>
        <w:rPr/>
        <w:fldChar w:fldCharType="separate"/>
      </w:r>
      <w:r>
        <w:rPr/>
      </w:r>
      <w:r>
        <w:rPr/>
        <w:fldChar w:fldCharType="end"/>
      </w:r>
      <w:bookmarkStart w:id="83" w:name="__RefHeading___Toc535051603"/>
      <w:bookmarkEnd w:id="83"/>
      <w:r>
        <w:rPr/>
        <w:t>.  There shall not (</w:t>
      </w:r>
      <w:r>
        <w:rPr>
          <w:lang w:val="en-CA"/>
        </w:rPr>
        <w:t>a</w:t>
      </w:r>
      <w:r>
        <w:rPr/>
        <w:t>) be in effect any injunction, order or decree, restraining, enjoining or otherwise preventing, or materially restricting, consummation of the transactions contemplated by this Agreement, or (</w:t>
      </w:r>
      <w:r>
        <w:rPr>
          <w:lang w:val="en-CA"/>
        </w:rPr>
        <w:t>b</w:t>
      </w:r>
      <w:r>
        <w:rPr/>
        <w:t>) be any Actions pending or threatened by any Governmental Authority, that could reasonably be expected to have any of the effects set forth in clause (a).</w:t>
      </w:r>
    </w:p>
    <w:p>
      <w:pPr>
        <w:pStyle w:val="Heading2"/>
        <w:numPr>
          <w:ilvl w:val="1"/>
          <w:numId w:val="12"/>
        </w:numPr>
        <w:ind w:hanging="0" w:start="0"/>
        <w:rPr/>
      </w:pPr>
      <w:r>
        <w:rPr>
          <w:u w:val="single"/>
        </w:rPr>
        <w:t>Bankruptcy Court Approval</w:t>
      </w:r>
      <w:r>
        <w:fldChar w:fldCharType="begin"/>
      </w:r>
      <w:r>
        <w:rPr/>
        <w:instrText xml:space="preserve"> TC "Section 9.3</w:instrText>
        <w:tab/>
        <w:instrText xml:space="preserve">Bankruptcy Court Approval</w:instrText>
        <w:tab/>
        <w:instrText xml:space="preserve">“ \f C \l “2" \l 1 </w:instrText>
      </w:r>
      <w:r>
        <w:rPr/>
        <w:fldChar w:fldCharType="separate"/>
      </w:r>
      <w:r>
        <w:rPr/>
      </w:r>
      <w:r>
        <w:rPr/>
        <w:fldChar w:fldCharType="end"/>
      </w:r>
      <w:bookmarkStart w:id="84" w:name="__RefHeading___Toc535051604"/>
      <w:bookmarkEnd w:id="84"/>
      <w:r>
        <w:rPr/>
        <w:t>.  The Bankruptcy Court shall have entered the Bankruptcy Court Approval.</w:t>
      </w:r>
    </w:p>
    <w:p>
      <w:pPr>
        <w:pStyle w:val="Heading2"/>
        <w:numPr>
          <w:ilvl w:val="1"/>
          <w:numId w:val="12"/>
        </w:numPr>
        <w:ind w:hanging="0" w:start="0"/>
        <w:rPr/>
      </w:pPr>
      <w:r>
        <w:rPr>
          <w:u w:val="single"/>
        </w:rPr>
        <w:t>Related Agreements</w:t>
      </w:r>
      <w:r>
        <w:fldChar w:fldCharType="begin"/>
      </w:r>
      <w:r>
        <w:rPr/>
        <w:instrText xml:space="preserve"> TC "Section 9.4</w:instrText>
        <w:tab/>
        <w:instrText xml:space="preserve">Related Agreements</w:instrText>
        <w:tab/>
        <w:instrText xml:space="preserve">“ \f C \l “2" \l 1 </w:instrText>
      </w:r>
      <w:r>
        <w:rPr/>
        <w:fldChar w:fldCharType="separate"/>
      </w:r>
      <w:r>
        <w:rPr/>
      </w:r>
      <w:r>
        <w:rPr/>
        <w:fldChar w:fldCharType="end"/>
      </w:r>
      <w:bookmarkStart w:id="85" w:name="__RefHeading___Toc535051605"/>
      <w:bookmarkEnd w:id="85"/>
      <w:r>
        <w:rPr/>
        <w:t>.  Buyer shall have delivered duly executed counterparts to the (a) the License Agreements, (b) the Houston Lease and (c) the Transition Services Agreement.</w:t>
      </w:r>
    </w:p>
    <w:p>
      <w:pPr>
        <w:pStyle w:val="Heading1"/>
        <w:numPr>
          <w:ilvl w:val="0"/>
          <w:numId w:val="12"/>
        </w:numPr>
        <w:ind w:hanging="0" w:start="0"/>
        <w:rPr/>
      </w:pPr>
      <w:r>
        <w:rPr/>
        <w:br/>
        <w:br/>
        <w:t>Survival; Indemnification</w:t>
      </w:r>
      <w:r>
        <w:fldChar w:fldCharType="begin"/>
      </w:r>
      <w:r>
        <w:rPr/>
        <w:instrText xml:space="preserve"> TC "ARTICLE 10_x000b__x000b_Survival; Indemnification" \l 1 </w:instrText>
      </w:r>
      <w:r>
        <w:rPr/>
        <w:fldChar w:fldCharType="separate"/>
      </w:r>
      <w:r>
        <w:rPr/>
      </w:r>
      <w:r>
        <w:rPr/>
        <w:fldChar w:fldCharType="end"/>
      </w:r>
    </w:p>
    <w:p>
      <w:pPr>
        <w:pStyle w:val="Heading2"/>
        <w:numPr>
          <w:ilvl w:val="1"/>
          <w:numId w:val="12"/>
        </w:numPr>
        <w:ind w:hanging="0" w:start="0"/>
        <w:rPr/>
      </w:pPr>
      <w:r>
        <w:rPr>
          <w:u w:val="single"/>
        </w:rPr>
        <w:t>Indemnification by Sellers</w:t>
      </w:r>
      <w:r>
        <w:fldChar w:fldCharType="begin"/>
      </w:r>
      <w:r>
        <w:rPr/>
        <w:instrText xml:space="preserve"> TC "Section 10.1</w:instrText>
        <w:tab/>
        <w:instrText xml:space="preserve">Indemnification by Sellers</w:instrText>
        <w:tab/>
        <w:instrText xml:space="preserve">“ \f C \l “2" \l 1 </w:instrText>
      </w:r>
      <w:r>
        <w:rPr/>
        <w:fldChar w:fldCharType="separate"/>
      </w:r>
      <w:r>
        <w:rPr/>
      </w:r>
      <w:r>
        <w:rPr/>
        <w:fldChar w:fldCharType="end"/>
      </w:r>
      <w:bookmarkStart w:id="86" w:name="__RefHeading___Toc535051606"/>
      <w:bookmarkEnd w:id="86"/>
      <w:r>
        <w:rPr/>
        <w:t>.  (a)  Sellers, jointly and severally, covenant and agree to indemnify and hold harmless Buyer, its officers, directors, employees, agents, advisers, representatives and Affiliates (collectively, the “</w:t>
      </w:r>
      <w:r>
        <w:rPr>
          <w:u w:val="single"/>
        </w:rPr>
        <w:t>Buyer Indemnitees</w:t>
      </w:r>
      <w:r>
        <w:rPr/>
        <w:t>”) from and against, and pay or reimburse the Buyer Indemnitees for, any and all Losses, (x) as provided for in Section 7.2 or resulting from any Pre-Closing Taxes or (y) resulting from or arising out of:</w:t>
      </w:r>
    </w:p>
    <w:p>
      <w:pPr>
        <w:pStyle w:val="Heading4"/>
        <w:numPr>
          <w:ilvl w:val="3"/>
          <w:numId w:val="12"/>
        </w:numPr>
        <w:ind w:hanging="0" w:start="0"/>
        <w:rPr/>
      </w:pPr>
      <w:r>
        <w:rPr/>
        <w:t xml:space="preserve">any breach or inaccuracy of any representation or warranty made by any Seller herein or in any certificate delivered pursuant to this Agreement and which survive the Closing, </w:t>
      </w:r>
      <w:r>
        <w:rPr>
          <w:u w:val="single"/>
        </w:rPr>
        <w:t>provided</w:t>
      </w:r>
      <w:r>
        <w:rPr/>
        <w:t>, that any qualification as to knowledge or dollar threshold, materiality, material adverse effect or similar concepts shall be ignored for such purposes;</w:t>
      </w:r>
    </w:p>
    <w:p>
      <w:pPr>
        <w:pStyle w:val="Heading4"/>
        <w:numPr>
          <w:ilvl w:val="3"/>
          <w:numId w:val="12"/>
        </w:numPr>
        <w:ind w:hanging="0" w:start="0"/>
        <w:rPr/>
      </w:pPr>
      <w:r>
        <w:rPr/>
        <w:t xml:space="preserve">any failure of any Seller to perform any covenant or agreement hereunder or fulfill any other obligation in respect hereof, including the obligations set forth in Sections 13.1 and 13.2, </w:t>
      </w:r>
      <w:r>
        <w:rPr>
          <w:u w:val="single"/>
        </w:rPr>
        <w:t>provided</w:t>
      </w:r>
      <w:r>
        <w:rPr/>
        <w:t>, that any qualification as to knowledge, dollar threshold, materiality, material adverse effect or similar concepts shall be ignored for such purposes;</w:t>
      </w:r>
    </w:p>
    <w:p>
      <w:pPr>
        <w:pStyle w:val="Heading4"/>
        <w:numPr>
          <w:ilvl w:val="3"/>
          <w:numId w:val="12"/>
        </w:numPr>
        <w:ind w:hanging="0" w:start="0"/>
        <w:rPr/>
      </w:pPr>
      <w:r>
        <w:rPr/>
        <w:t xml:space="preserve">any Excluded Liabilities or Excluded Assets; </w:t>
      </w:r>
    </w:p>
    <w:p>
      <w:pPr>
        <w:pStyle w:val="Heading4"/>
        <w:numPr>
          <w:ilvl w:val="3"/>
          <w:numId w:val="12"/>
        </w:numPr>
        <w:ind w:hanging="0" w:start="0"/>
        <w:rPr/>
      </w:pPr>
      <w:r>
        <w:rPr/>
        <w:t>any Excluded Taxes; and</w:t>
      </w:r>
    </w:p>
    <w:p>
      <w:pPr>
        <w:pStyle w:val="Heading4"/>
        <w:numPr>
          <w:ilvl w:val="3"/>
          <w:numId w:val="12"/>
        </w:numPr>
        <w:ind w:hanging="0" w:start="0"/>
        <w:rPr/>
      </w:pPr>
      <w:r>
        <w:rPr/>
        <w:t>any Liabilities arising in connection with any licenses with respect to the Business Intellectual Property as may be issued by Buyer to Sellers or by Sellers to third parties.</w:t>
      </w:r>
    </w:p>
    <w:p>
      <w:pPr>
        <w:pStyle w:val="Heading3"/>
        <w:numPr>
          <w:ilvl w:val="2"/>
          <w:numId w:val="12"/>
        </w:numPr>
        <w:ind w:hanging="0" w:start="0"/>
        <w:rPr/>
      </w:pPr>
      <w:r>
        <w:rPr/>
        <w:t>As to breach or indemnification for inaccuracy in the representations and warranties contained in this Agreement (other than those in Sections 3.1, 3.2, 3.6 and the first sentence of Section 3.3, as to which the following limitations shall not apply), without giving effect to any qualification as to knowledge or dollar threshold, materiality, material adverse effect or similar concepts, (i) Sellers shall not be required to indemnify the Buyer Indemnitees with respect to any Claims unless and until and to the extent that the aggregate amount of all Claims against the Sellers with respect thereto exceeds $5 million in the aggregate, and (ii) Sellers’ aggregate indemnification obligations to the Buyer Indemnitees is limited to $250 million.</w:t>
      </w:r>
    </w:p>
    <w:p>
      <w:pPr>
        <w:pStyle w:val="Heading3"/>
        <w:numPr>
          <w:ilvl w:val="2"/>
          <w:numId w:val="12"/>
        </w:numPr>
        <w:ind w:hanging="0" w:start="0"/>
        <w:rPr/>
      </w:pPr>
      <w:r>
        <w:rPr/>
        <w:t>Without prejudice to any other remedies that may be available, Sellers agree that Buyer shall be entitled (i) to make direct Claims against Sellers under the foregoing indemnification obligations of Sellers, and (ii) to hold back and set off from the Enron Account, the Distributable Annual Share Payments, the Partial Termination Payments, the Full Termination Payment or any other payments in respect of this Agreement, any Claims under the foregoing indemnification obligations of Sellers and any other Claims against Sellers by Buyer or Parent under this Agreement.</w:t>
      </w:r>
    </w:p>
    <w:p>
      <w:pPr>
        <w:pStyle w:val="Heading2"/>
        <w:numPr>
          <w:ilvl w:val="1"/>
          <w:numId w:val="12"/>
        </w:numPr>
        <w:ind w:hanging="0" w:start="0"/>
        <w:rPr/>
      </w:pPr>
      <w:r>
        <w:rPr>
          <w:u w:val="single"/>
        </w:rPr>
        <w:t>Indemnification by Buyer</w:t>
      </w:r>
      <w:r>
        <w:fldChar w:fldCharType="begin"/>
      </w:r>
      <w:r>
        <w:rPr/>
        <w:instrText xml:space="preserve"> TC "Section 10.2</w:instrText>
        <w:tab/>
        <w:instrText xml:space="preserve">Indemnification by Buyer</w:instrText>
        <w:tab/>
        <w:instrText xml:space="preserve">“ \f C \l “2" \l 1 </w:instrText>
      </w:r>
      <w:r>
        <w:rPr/>
        <w:fldChar w:fldCharType="separate"/>
      </w:r>
      <w:r>
        <w:rPr/>
      </w:r>
      <w:r>
        <w:rPr/>
        <w:fldChar w:fldCharType="end"/>
      </w:r>
      <w:bookmarkStart w:id="87" w:name="__RefHeading___Toc535051607"/>
      <w:bookmarkEnd w:id="87"/>
      <w:r>
        <w:rPr/>
        <w:t>.  (a)  Buyer covenants and agrees to indemnify and hold harmless each Seller, its officers, directors, employees, agents, advisers, representatives and Affiliates (collectively, the “</w:t>
      </w:r>
      <w:r>
        <w:rPr>
          <w:u w:val="single"/>
        </w:rPr>
        <w:t>Seller Indemnitees</w:t>
      </w:r>
      <w:r>
        <w:rPr/>
        <w:t>”) from and against, and pay or reimburse the Seller Indemnitees for, any and all Losses resulting from or arising out of:</w:t>
      </w:r>
    </w:p>
    <w:p>
      <w:pPr>
        <w:pStyle w:val="Heading4"/>
        <w:numPr>
          <w:ilvl w:val="3"/>
          <w:numId w:val="12"/>
        </w:numPr>
        <w:ind w:hanging="0" w:start="0"/>
        <w:rPr/>
      </w:pPr>
      <w:r>
        <w:rPr/>
        <w:t xml:space="preserve">any breach or inaccuracy in any representation or warranty by Buyer made or contained in this Agreement; </w:t>
      </w:r>
    </w:p>
    <w:p>
      <w:pPr>
        <w:pStyle w:val="Heading4"/>
        <w:numPr>
          <w:ilvl w:val="3"/>
          <w:numId w:val="12"/>
        </w:numPr>
        <w:ind w:hanging="0" w:start="0"/>
        <w:rPr/>
      </w:pPr>
      <w:r>
        <w:rPr/>
        <w:t>any failure of Buyer to perform any covenant or agreement made or contained in this Agreement or fulfill any other obligation in respect thereof;</w:t>
      </w:r>
    </w:p>
    <w:p>
      <w:pPr>
        <w:pStyle w:val="Heading4"/>
        <w:numPr>
          <w:ilvl w:val="3"/>
          <w:numId w:val="12"/>
        </w:numPr>
        <w:ind w:hanging="0" w:start="0"/>
        <w:rPr/>
      </w:pPr>
      <w:r>
        <w:rPr/>
        <w:t>the operation of the Business by Buyer or Buyer’s ownership, operation or use of the Assets on or after the Closing Date; and</w:t>
      </w:r>
    </w:p>
    <w:p>
      <w:pPr>
        <w:pStyle w:val="Heading4"/>
        <w:numPr>
          <w:ilvl w:val="3"/>
          <w:numId w:val="12"/>
        </w:numPr>
        <w:ind w:hanging="0" w:start="0"/>
        <w:rPr/>
      </w:pPr>
      <w:r>
        <w:rPr/>
        <w:t xml:space="preserve">the Assumed Liabilities; </w:t>
      </w:r>
    </w:p>
    <w:p>
      <w:pPr>
        <w:pStyle w:val="FlushLeft"/>
        <w:rPr/>
      </w:pPr>
      <w:r>
        <w:rPr/>
        <w:t>except, in the case of clause (iii) or (iv), to the extent such Losses result from or arise out of the Excluded Liabilities or constitute Losses for which Sellers are required to indemnify the Buyer Indemnitees under Section 10.1, or as otherwise contemplated by this Agreement.</w:t>
      </w:r>
    </w:p>
    <w:p>
      <w:pPr>
        <w:pStyle w:val="Heading3"/>
        <w:numPr>
          <w:ilvl w:val="2"/>
          <w:numId w:val="12"/>
        </w:numPr>
        <w:ind w:hanging="0" w:start="0"/>
        <w:rPr/>
      </w:pPr>
      <w:r>
        <w:rPr/>
        <w:t xml:space="preserve">As to indemnification for breaches or inaccuracies in the representations and warranties contained in this Agreement, Buyer shall not be required to indemnify the Seller Indemnitees with respect to any claims unless and until and to the extent that the aggregate amount of all claims against Buyer with respect thereto exceeds $5 million in the aggregate.  </w:t>
      </w:r>
    </w:p>
    <w:p>
      <w:pPr>
        <w:pStyle w:val="Heading2"/>
        <w:numPr>
          <w:ilvl w:val="1"/>
          <w:numId w:val="12"/>
        </w:numPr>
        <w:ind w:hanging="0" w:start="0"/>
        <w:rPr/>
      </w:pPr>
      <w:r>
        <w:rPr>
          <w:u w:val="single"/>
        </w:rPr>
        <w:t>Losses Net of Insurance, Etc.</w:t>
      </w:r>
      <w:r>
        <w:fldChar w:fldCharType="begin"/>
      </w:r>
      <w:r>
        <w:rPr/>
        <w:instrText xml:space="preserve"> TC "Section 10.3</w:instrText>
        <w:tab/>
        <w:instrText xml:space="preserve">Losses Net of Insurance, Etc.</w:instrText>
        <w:tab/>
        <w:instrText xml:space="preserve">“ \f C \l “2" \l 1 </w:instrText>
      </w:r>
      <w:r>
        <w:rPr/>
        <w:fldChar w:fldCharType="separate"/>
      </w:r>
      <w:r>
        <w:rPr/>
      </w:r>
      <w:r>
        <w:rPr/>
        <w:fldChar w:fldCharType="end"/>
      </w:r>
      <w:bookmarkStart w:id="88" w:name="__RefHeading___Toc535051608"/>
      <w:bookmarkEnd w:id="88"/>
      <w:r>
        <w:rPr/>
        <w:t xml:space="preserve">  The amount of any loss, Liability, cost or expense (“</w:t>
      </w:r>
      <w:r>
        <w:rPr>
          <w:u w:val="single"/>
        </w:rPr>
        <w:t>Loss</w:t>
      </w:r>
      <w:r>
        <w:rPr/>
        <w:t>”) for which indemnification is provided under this Article 10 shall be net of any amounts actually recovered by the indemnified party under insurance policies with respect to such Loss, but shall not be net of any Tax benefit or cost with respect thereto.</w:t>
      </w:r>
    </w:p>
    <w:p>
      <w:pPr>
        <w:pStyle w:val="Heading2"/>
        <w:numPr>
          <w:ilvl w:val="1"/>
          <w:numId w:val="12"/>
        </w:numPr>
        <w:ind w:hanging="0" w:start="0"/>
        <w:rPr/>
      </w:pPr>
      <w:r>
        <w:rPr>
          <w:u w:val="single"/>
        </w:rPr>
        <w:t>Termination of Indemnification</w:t>
      </w:r>
      <w:r>
        <w:fldChar w:fldCharType="begin"/>
      </w:r>
      <w:r>
        <w:rPr/>
        <w:instrText xml:space="preserve"> TC "Section 10.4</w:instrText>
        <w:tab/>
        <w:instrText xml:space="preserve">Termination of Indemnification</w:instrText>
        <w:tab/>
        <w:instrText xml:space="preserve">“ \f C \l “2" \l 1 </w:instrText>
      </w:r>
      <w:r>
        <w:rPr/>
        <w:fldChar w:fldCharType="separate"/>
      </w:r>
      <w:r>
        <w:rPr/>
      </w:r>
      <w:r>
        <w:rPr/>
        <w:fldChar w:fldCharType="end"/>
      </w:r>
      <w:bookmarkStart w:id="89" w:name="__RefHeading___Toc535051609"/>
      <w:bookmarkEnd w:id="89"/>
      <w:r>
        <w:rPr/>
        <w:t xml:space="preserve">.  The obligations to indemnify and hold harmless any party (a) pursuant to clause (i) of each of Sections 10.1 and 10.2, shall terminate when the applicable representation or warranty terminates pursuant to Section 13.1 and (b) pursuant to the other clauses of Sections 10.1 and 10.2 shall terminate at the expiration of the applicable statute of limitations; </w:t>
      </w:r>
      <w:r>
        <w:rPr>
          <w:u w:val="single"/>
        </w:rPr>
        <w:t>provided</w:t>
      </w:r>
      <w:r>
        <w:rPr/>
        <w:t xml:space="preserve">, </w:t>
      </w:r>
      <w:r>
        <w:rPr>
          <w:u w:val="single"/>
        </w:rPr>
        <w:t>however</w:t>
      </w:r>
      <w:r>
        <w:rPr/>
        <w:t>, that no termination pursuant to this sentence, nor any termination of any survival period set forth in Section 13.1, shall affect, bar or limit any claim asserted prior to such termination, and any plan of reorganization for the Sellers in accordance with Chapter 11 of the Bankruptcy Code shall provide for the satisfaction of any such claim asserted prior to such termination that is ultimately determined to be a Loss that is indemnifiable by any Seller to any Buyer Indemnitee.</w:t>
      </w:r>
    </w:p>
    <w:p>
      <w:pPr>
        <w:pStyle w:val="Heading2"/>
        <w:numPr>
          <w:ilvl w:val="1"/>
          <w:numId w:val="12"/>
        </w:numPr>
        <w:ind w:hanging="0" w:start="0"/>
        <w:rPr/>
      </w:pPr>
      <w:r>
        <w:rPr>
          <w:u w:val="single"/>
        </w:rPr>
        <w:t>Exclusive Remedy</w:t>
      </w:r>
      <w:r>
        <w:fldChar w:fldCharType="begin"/>
      </w:r>
      <w:r>
        <w:rPr/>
        <w:instrText xml:space="preserve"> TC "Section 10.5</w:instrText>
        <w:tab/>
        <w:instrText xml:space="preserve">Exclusive Remedy</w:instrText>
        <w:tab/>
        <w:instrText xml:space="preserve">“ \f C \l “2" \l 1 </w:instrText>
      </w:r>
      <w:r>
        <w:rPr/>
        <w:fldChar w:fldCharType="separate"/>
      </w:r>
      <w:r>
        <w:rPr/>
      </w:r>
      <w:r>
        <w:rPr/>
        <w:fldChar w:fldCharType="end"/>
      </w:r>
      <w:bookmarkStart w:id="90" w:name="__RefHeading___Toc535051610"/>
      <w:bookmarkEnd w:id="90"/>
      <w:r>
        <w:rPr/>
        <w:t>.  With respect to any Claim (a) by Buyer relating to any breach or inaccuracy of any representation or warranty made by any Seller herein or in any certificate delivered pursuant to this Agreement and which survive the Closing, or (b) by Sellers relating to any breach or inaccuracy of any representation or warranty made by Buyer herein or in any certificate delivered pursuant to this Agreement and which survive the Closing, the provisions of this Article 10 shall provide the sole and exclusive remedy for any Losses suffered in connection therewith.</w:t>
      </w:r>
    </w:p>
    <w:p>
      <w:pPr>
        <w:pStyle w:val="Heading2"/>
        <w:numPr>
          <w:ilvl w:val="1"/>
          <w:numId w:val="12"/>
        </w:numPr>
        <w:ind w:hanging="0" w:start="0"/>
        <w:rPr/>
      </w:pPr>
      <w:r>
        <w:rPr>
          <w:u w:val="single"/>
        </w:rPr>
        <w:t>Indemnification Procedures</w:t>
      </w:r>
      <w:r>
        <w:fldChar w:fldCharType="begin"/>
      </w:r>
      <w:r>
        <w:rPr/>
        <w:instrText xml:space="preserve"> TC "Section 10.6</w:instrText>
        <w:tab/>
        <w:instrText xml:space="preserve">Indemnification Procedures</w:instrText>
        <w:tab/>
        <w:instrText xml:space="preserve">“ \f C \l “2" \l 1 </w:instrText>
      </w:r>
      <w:r>
        <w:rPr/>
        <w:fldChar w:fldCharType="separate"/>
      </w:r>
      <w:r>
        <w:rPr/>
      </w:r>
      <w:r>
        <w:rPr/>
        <w:fldChar w:fldCharType="end"/>
      </w:r>
      <w:bookmarkStart w:id="91" w:name="__RefHeading___Toc535051611"/>
      <w:bookmarkEnd w:id="91"/>
      <w:r>
        <w:rPr/>
        <w:t>.  (a)  Any Buyer Indemnitee or Seller Indemnitee entitled to indemnification under this Agreement shall notify promptly the indemnifying party in writing of the commencement of any Action by any third party (a “</w:t>
      </w:r>
      <w:r>
        <w:rPr>
          <w:u w:val="single"/>
        </w:rPr>
        <w:t>Third Party Claim</w:t>
      </w:r>
      <w:r>
        <w:rPr/>
        <w:t xml:space="preserve">”) with respect to which a claim for indemnification may be made pursuant to this Article 10, but the failure of any indemnified party to provide such notice shall not relieve the indemnifying party of its obligations under this Article 10, except to the extent the indemnifying party is actually materially prejudiced thereby.  In case any Third Party Claim is brought against an indemnified party and it shall notify the indemnifying party of the commencement thereof, the indemnifying party shall be entitled to participate therein and, unless in the reasonable opinion of outside counsel to the indemnified party a conflict of interest between such indemnified and indemnifying parties may exist in respect of such claim, to assume the defense thereof jointly with any other indemnifying party similarly notified, to the extent that it chooses, with counsel reasonably satisfactory to such indemnified party, and after notice from the indemnifying party to such indemnified party that it so chooses, the indemnifying party shall not be liable to such indemnified party for any legal or other expenses subsequently incurred by such indemnified party in connection with the defense thereof other than reasonable costs of investigation; </w:t>
      </w:r>
      <w:r>
        <w:rPr>
          <w:u w:val="single"/>
        </w:rPr>
        <w:t>provided</w:t>
      </w:r>
      <w:r>
        <w:rPr/>
        <w:t xml:space="preserve">, </w:t>
      </w:r>
      <w:r>
        <w:rPr>
          <w:u w:val="single"/>
        </w:rPr>
        <w:t>however</w:t>
      </w:r>
      <w:r>
        <w:rPr/>
        <w:t>, that (i) if the indemnifying party fails to take reasonable steps necessary to defend diligently the Action within ten (10) Business Days after receiving notice from such indemnified party that the indemnified party believes it has failed to do so; or (ii) if such indemnified party who is a defendant in any Third Party Claim which is also brought against the indemnifying party reasonably shall have concluded that there may be one or more legal defenses available to such indemnified party which are not available to the indemnifying party; or (iii) if representation of both parties by the same counsel is otherwise inappropriate under applicable standards of professional conduct, then, in any such case, the indemnified party shall have the right to assume or continue its own defense as set forth above (but with no more than one firm of counsel for all indemnified parties in each jurisdiction, except, in the case of Buyer Indemnitees only, to the extent any such indemnified party or parties reasonably shall have concluded that there may be legal defenses available to such party or parties which are not available to the other indemnified parties or to the extent representation of all indemnified parties by the same counsel is otherwise inappropriate under applicable standards of professional conduct) and the indemnifying party shall be liable for any expenses therefor.  No indemnifying party shall, without the written consent of the indemnified party, which consent shall not be unreasonably withheld, effect the settlement or compromise of, or consent to the entry of any judgment with respect to, any pending or threatened Action or Claim in respect of which indemnification or contribution may be sought hereunder (whether or not the indemnified party is an actual or potential party to such Action or Claim) unless such settlement, compromise or judgment (A) includes an unconditional release of the indemnified party from all liability arising out of such Action or Claim, (B) does not include a statement as to or an admission of fault, culpability or a failure to act, by or on behalf of any indemnified party and (C) does not include any injunctive or other non-monetary relief.  Anything in the foregoing to the contrary notwithstanding, (1) notice given by Buyer to Enron shall constitute valid notice to all Seller Indemnitees, and (2) with respect to any Third Party Claim with respect to which more than one Seller Indemnitee is an indemnified party or potential indemnified party, all such Seller Indemnitees shall select a single Seller Indemnitee to act as representative for all such Seller Indemnitees with respect to such Third Party Claim, and (x) such representative shall be authorized to make authorizations and consents on behalf of each such Seller Indemnitee, and (y) Buyer shall, with respect to all matters relating to such Third Party Claim, be entitled to rely on the statements, authorizations and consents of such representative as being the statement, authorization or consent of each such Seller Indemnitee.</w:t>
      </w:r>
    </w:p>
    <w:p>
      <w:pPr>
        <w:pStyle w:val="Heading3"/>
        <w:numPr>
          <w:ilvl w:val="2"/>
          <w:numId w:val="17"/>
        </w:numPr>
        <w:rPr/>
      </w:pPr>
      <w:r>
        <w:rPr/>
        <w:t>Anything to the contrary in this Section 10.5 notwithstanding:  (i) Buyer shall be entitled to assume and control the defense in all respects, including with respect to settlement, with counsel selected by Buyer of any Third Party Claim for Taxes, which Third Party Claim for Taxes includes or could reasonably be expected to include a claim for both Excluded Taxes and Taxes that are Assumed Liabilities, (ii) Sellers shall facilitate such assumption and control by Buyer, which facilitation shall include the prompt delivery, and in any event the delivery within five Business Days after receipt by any Seller or Affiliate thereof of a request therefor, copies of all notices and documents (including court papers) received by any Seller or Affiliate thereof to the extent relating to the Third Party Claim and any power of attorney reasonably requested by Buyer Indemnitee with respect to such Third Party Claim, (iii) Sellers shall reimburse Buyer Indemnitee for any fees and expenses attributable to the defense of such Third Party Claim to the extent such fees and expenses are attributable to the portion of such claim for which Sellers are required to indemnify Buyer and its Affiliates hereunder.</w:t>
      </w:r>
    </w:p>
    <w:p>
      <w:pPr>
        <w:pStyle w:val="Heading3"/>
        <w:numPr>
          <w:ilvl w:val="2"/>
          <w:numId w:val="12"/>
        </w:numPr>
        <w:ind w:hanging="0" w:start="0"/>
        <w:rPr/>
      </w:pPr>
      <w:r>
        <w:rPr/>
        <w:t>In the event any indemnified party should have an indemnification claim against any indemnifying party under the Agreement that does not involve a Third Party Claim being asserted against or sought to be collected from such indemnified party, the indemnified party shall deliver notice of such claim with reasonable promptness to the indemnifying party.  The failure by any indemnified party so to notify the indemnifying party shall not relieve the indemnifying party from any liability that it may have to such indemnified party, except to the extent that the indemnifying party has been actually prejudiced by such failure.  If the indemnifying party disputes its liability with respect to such claim, the indemnifying party and the indemnified party shall proceed in good faith to negotiate a resolution of such dispute and, if not resolved through negotiations within 30 days, such dispute shall be resolved by litigation in the Bankruptcy Court or, if the Bankruptcy Court declines to resolve or take jurisdiction over such dispute in an appropriate court of competent jurisdiction.</w:t>
      </w:r>
    </w:p>
    <w:p>
      <w:pPr>
        <w:pStyle w:val="Heading1"/>
        <w:numPr>
          <w:ilvl w:val="0"/>
          <w:numId w:val="12"/>
        </w:numPr>
        <w:ind w:hanging="0" w:start="0"/>
        <w:rPr/>
      </w:pPr>
      <w:r>
        <w:rPr/>
        <w:br/>
        <w:br/>
        <w:t>Deliveries at Closing</w:t>
      </w:r>
      <w:r>
        <w:fldChar w:fldCharType="begin"/>
      </w:r>
      <w:r>
        <w:rPr/>
        <w:instrText xml:space="preserve"> TC "ARTICLE 11_x000b__x000b_Deliveries at Closing" \l 1 </w:instrText>
      </w:r>
      <w:r>
        <w:rPr/>
        <w:fldChar w:fldCharType="separate"/>
      </w:r>
      <w:r>
        <w:rPr/>
      </w:r>
      <w:r>
        <w:rPr/>
        <w:fldChar w:fldCharType="end"/>
      </w:r>
    </w:p>
    <w:p>
      <w:pPr>
        <w:pStyle w:val="Heading2"/>
        <w:numPr>
          <w:ilvl w:val="1"/>
          <w:numId w:val="12"/>
        </w:numPr>
        <w:ind w:hanging="0" w:start="0"/>
        <w:rPr/>
      </w:pPr>
      <w:r>
        <w:rPr>
          <w:u w:val="single"/>
        </w:rPr>
        <w:t>Sellers’ Deliveries at Closing</w:t>
      </w:r>
      <w:r>
        <w:fldChar w:fldCharType="begin"/>
      </w:r>
      <w:r>
        <w:rPr/>
        <w:instrText xml:space="preserve"> TC "Section 11.1</w:instrText>
        <w:tab/>
        <w:instrText xml:space="preserve">Sellers’ Deliveries at Closing</w:instrText>
        <w:tab/>
        <w:instrText xml:space="preserve">“ \f C \l “2" \l 1 </w:instrText>
      </w:r>
      <w:r>
        <w:rPr/>
        <w:fldChar w:fldCharType="separate"/>
      </w:r>
      <w:r>
        <w:rPr/>
      </w:r>
      <w:r>
        <w:rPr/>
        <w:fldChar w:fldCharType="end"/>
      </w:r>
      <w:bookmarkStart w:id="92" w:name="__RefHeading___Toc535051612"/>
      <w:bookmarkEnd w:id="92"/>
      <w:r>
        <w:rPr/>
        <w:t xml:space="preserve">.  In addition to the other things required to be done hereby, at the Closing, Sellers shall deliver, or cause to be delivered, to Buyer the following:  </w:t>
      </w:r>
    </w:p>
    <w:p>
      <w:pPr>
        <w:pStyle w:val="Heading3"/>
        <w:numPr>
          <w:ilvl w:val="2"/>
          <w:numId w:val="12"/>
        </w:numPr>
        <w:ind w:hanging="0" w:start="0"/>
        <w:rPr/>
      </w:pPr>
      <w:r>
        <w:rPr/>
        <w:t xml:space="preserve">a certificate dated as of the Closing Date and validly executed by the Chief Executive Officer or any Vice President of Enron on behalf of each Seller to the effect that the conditions set forth in Sections 8.1 and 8.2(a) have been satisfied; </w:t>
      </w:r>
    </w:p>
    <w:p>
      <w:pPr>
        <w:pStyle w:val="Heading3"/>
        <w:numPr>
          <w:ilvl w:val="2"/>
          <w:numId w:val="12"/>
        </w:numPr>
        <w:ind w:hanging="0" w:start="0"/>
        <w:rPr/>
      </w:pPr>
      <w:r>
        <w:rPr/>
        <w:t xml:space="preserve">a copy of the resolutions adopted by the Board of Directors of each Seller, or similar enabling document, authorizing the execution, delivery and performance hereof by each Seller and a certificate of each Seller’s secretary, dated as of the Closing Date, that such resolutions were duly adopted, have not been amended and are in full force and effect; </w:t>
      </w:r>
    </w:p>
    <w:p>
      <w:pPr>
        <w:pStyle w:val="Heading3"/>
        <w:numPr>
          <w:ilvl w:val="2"/>
          <w:numId w:val="12"/>
        </w:numPr>
        <w:ind w:hanging="0" w:start="0"/>
        <w:rPr/>
      </w:pPr>
      <w:r>
        <w:rPr/>
        <w:t>all documents, certificates and agreements necessary to transfer to Buyer good and marketable title to the Assets, free and clear of any and all Encumbrances and Liabilities thereon, including:</w:t>
      </w:r>
    </w:p>
    <w:p>
      <w:pPr>
        <w:pStyle w:val="Heading4"/>
        <w:numPr>
          <w:ilvl w:val="3"/>
          <w:numId w:val="12"/>
        </w:numPr>
        <w:ind w:hanging="0" w:start="0"/>
        <w:rPr/>
      </w:pPr>
      <w:r>
        <w:rPr/>
        <w:t>the Assignment and Assumption Agreement duly executed on behalf of Seller; and</w:t>
      </w:r>
    </w:p>
    <w:p>
      <w:pPr>
        <w:pStyle w:val="Heading4"/>
        <w:numPr>
          <w:ilvl w:val="3"/>
          <w:numId w:val="12"/>
        </w:numPr>
        <w:ind w:hanging="0" w:start="0"/>
        <w:rPr/>
      </w:pPr>
      <w:r>
        <w:rPr/>
        <w:t>assignments of all Business Intellectual Property (excluding Licensed Intellectual Property) and any other agreements and instruments constituting Assets, dated the Closing Date, assigning to Buyer all of Sellers’ right, title and interest therein and thereto, duly executed on behalf of Seller with any required Consent endorsed thereon;</w:t>
      </w:r>
    </w:p>
    <w:p>
      <w:pPr>
        <w:pStyle w:val="Heading3"/>
        <w:numPr>
          <w:ilvl w:val="2"/>
          <w:numId w:val="12"/>
        </w:numPr>
        <w:ind w:hanging="0" w:start="0"/>
        <w:rPr/>
      </w:pPr>
      <w:r>
        <w:rPr/>
        <w:t xml:space="preserve">any other documents necessary to transfer or license to Buyer the Business Intellectual Property; </w:t>
      </w:r>
    </w:p>
    <w:p>
      <w:pPr>
        <w:pStyle w:val="Heading3"/>
        <w:numPr>
          <w:ilvl w:val="2"/>
          <w:numId w:val="12"/>
        </w:numPr>
        <w:ind w:hanging="0" w:start="0"/>
        <w:rPr/>
      </w:pPr>
      <w:r>
        <w:rPr/>
        <w:t xml:space="preserve">certified copies of all orders of the Bankruptcy Court relating to or affecting the transactions contemplated by this Agreement; </w:t>
      </w:r>
    </w:p>
    <w:p>
      <w:pPr>
        <w:pStyle w:val="Heading3"/>
        <w:numPr>
          <w:ilvl w:val="2"/>
          <w:numId w:val="12"/>
        </w:numPr>
        <w:ind w:hanging="0" w:start="0"/>
        <w:rPr/>
      </w:pPr>
      <w:r>
        <w:rPr/>
        <w:t>the FIRPTA Affidavits described in Section 7.2(b) duly executed on behalf of Seller;</w:t>
      </w:r>
    </w:p>
    <w:p>
      <w:pPr>
        <w:pStyle w:val="Heading3"/>
        <w:numPr>
          <w:ilvl w:val="2"/>
          <w:numId w:val="12"/>
        </w:numPr>
        <w:ind w:hanging="0" w:start="0"/>
        <w:rPr/>
      </w:pPr>
      <w:r>
        <w:rPr/>
        <w:t>the License Agreements duly executed on behalf of Sellers;</w:t>
      </w:r>
    </w:p>
    <w:p>
      <w:pPr>
        <w:pStyle w:val="Heading3"/>
        <w:numPr>
          <w:ilvl w:val="2"/>
          <w:numId w:val="12"/>
        </w:numPr>
        <w:ind w:hanging="0" w:start="0"/>
        <w:rPr/>
      </w:pPr>
      <w:r>
        <w:rPr/>
        <w:t xml:space="preserve">the Transition Services Agreement and Houston Lease duly executed on behalf of Seller; and </w:t>
      </w:r>
    </w:p>
    <w:p>
      <w:pPr>
        <w:pStyle w:val="Heading3"/>
        <w:numPr>
          <w:ilvl w:val="2"/>
          <w:numId w:val="12"/>
        </w:numPr>
        <w:ind w:hanging="0" w:start="0"/>
        <w:rPr/>
      </w:pPr>
      <w:r>
        <w:rPr/>
        <w:t>such other instruments or documents as are reasonably requested by Buyer or otherwise necessary or advisable to vest or prove title in and to the Assets in Buyer.</w:t>
      </w:r>
    </w:p>
    <w:p>
      <w:pPr>
        <w:pStyle w:val="Heading2"/>
        <w:numPr>
          <w:ilvl w:val="1"/>
          <w:numId w:val="12"/>
        </w:numPr>
        <w:ind w:hanging="0" w:start="0"/>
        <w:rPr/>
      </w:pPr>
      <w:r>
        <w:rPr>
          <w:u w:val="single"/>
        </w:rPr>
        <w:t>Buyer’s Deliveries at Closing</w:t>
      </w:r>
      <w:r>
        <w:fldChar w:fldCharType="begin"/>
      </w:r>
      <w:r>
        <w:rPr/>
        <w:instrText xml:space="preserve"> TC "Section 11.2</w:instrText>
        <w:tab/>
        <w:instrText xml:space="preserve">Buyer’s Deliveries at Closing</w:instrText>
        <w:tab/>
        <w:instrText xml:space="preserve">“ \f C \l “2" \l 1 </w:instrText>
      </w:r>
      <w:r>
        <w:rPr/>
        <w:fldChar w:fldCharType="separate"/>
      </w:r>
      <w:r>
        <w:rPr/>
      </w:r>
      <w:r>
        <w:rPr/>
        <w:fldChar w:fldCharType="end"/>
      </w:r>
      <w:bookmarkStart w:id="93" w:name="__RefHeading___Toc535051613"/>
      <w:bookmarkEnd w:id="93"/>
      <w:r>
        <w:rPr/>
        <w:t xml:space="preserve">.  In addition to the other things required to be done hereby, at the Closing, Buyer shall deliver, or cause to be delivered, to Sellers the following: </w:t>
      </w:r>
    </w:p>
    <w:p>
      <w:pPr>
        <w:pStyle w:val="Heading3"/>
        <w:numPr>
          <w:ilvl w:val="2"/>
          <w:numId w:val="12"/>
        </w:numPr>
        <w:ind w:hanging="0" w:start="0"/>
        <w:rPr/>
      </w:pPr>
      <w:r>
        <w:rPr/>
        <w:t xml:space="preserve">the Initial Consideration; </w:t>
      </w:r>
    </w:p>
    <w:p>
      <w:pPr>
        <w:pStyle w:val="Heading3"/>
        <w:numPr>
          <w:ilvl w:val="2"/>
          <w:numId w:val="12"/>
        </w:numPr>
        <w:ind w:hanging="0" w:start="0"/>
        <w:rPr/>
      </w:pPr>
      <w:r>
        <w:rPr/>
        <w:t>a certificate dated the Closing Date and validly executed by any Vice President of Buyer on behalf of Buyer to the effect that the conditions set forth in Sections 9.1 have been satisfied;</w:t>
      </w:r>
    </w:p>
    <w:p>
      <w:pPr>
        <w:pStyle w:val="Heading3"/>
        <w:numPr>
          <w:ilvl w:val="2"/>
          <w:numId w:val="12"/>
        </w:numPr>
        <w:ind w:hanging="0" w:start="0"/>
        <w:rPr/>
      </w:pPr>
      <w:r>
        <w:rPr/>
        <w:t>a copy of the resolutions adopted by the Board of Directors of Buyer, or similar enabling document, authorizing the execution, delivery and performance hereof by Buyer, and a certificate of its secretary or assistant secretary, dated as of the Closing Date, that such resolutions were duly adopted, have not been amended and are in full force and effect;</w:t>
      </w:r>
    </w:p>
    <w:p>
      <w:pPr>
        <w:pStyle w:val="Heading3"/>
        <w:numPr>
          <w:ilvl w:val="2"/>
          <w:numId w:val="12"/>
        </w:numPr>
        <w:ind w:hanging="0" w:start="0"/>
        <w:rPr/>
      </w:pPr>
      <w:r>
        <w:rPr/>
        <w:t xml:space="preserve">the Assignment and Assumption Agreement duly executed on behalf of Buyer; </w:t>
      </w:r>
    </w:p>
    <w:p>
      <w:pPr>
        <w:pStyle w:val="Heading3"/>
        <w:numPr>
          <w:ilvl w:val="2"/>
          <w:numId w:val="12"/>
        </w:numPr>
        <w:ind w:hanging="0" w:start="0"/>
        <w:rPr/>
      </w:pPr>
      <w:r>
        <w:rPr/>
        <w:t xml:space="preserve">the License Agreements duly executed on behalf of Buyer; and </w:t>
      </w:r>
    </w:p>
    <w:p>
      <w:pPr>
        <w:pStyle w:val="Heading3"/>
        <w:numPr>
          <w:ilvl w:val="2"/>
          <w:numId w:val="12"/>
        </w:numPr>
        <w:ind w:hanging="0" w:start="0"/>
        <w:rPr/>
      </w:pPr>
      <w:r>
        <w:rPr/>
        <w:t>the Transition Services Agreement and Houston Lease duly executed on behalf of Buyer.</w:t>
      </w:r>
    </w:p>
    <w:p>
      <w:pPr>
        <w:pStyle w:val="Heading2"/>
        <w:numPr>
          <w:ilvl w:val="1"/>
          <w:numId w:val="12"/>
        </w:numPr>
        <w:ind w:hanging="0" w:start="0"/>
        <w:rPr/>
      </w:pPr>
      <w:r>
        <w:rPr>
          <w:u w:val="single"/>
        </w:rPr>
        <w:t>Required Documents</w:t>
      </w:r>
      <w:r>
        <w:fldChar w:fldCharType="begin"/>
      </w:r>
      <w:r>
        <w:rPr/>
        <w:instrText xml:space="preserve"> TC "Section 11.3</w:instrText>
        <w:tab/>
        <w:instrText xml:space="preserve">Required Documents</w:instrText>
        <w:tab/>
        <w:instrText xml:space="preserve">“ \f C \l “2" \l 1 </w:instrText>
      </w:r>
      <w:r>
        <w:rPr/>
        <w:fldChar w:fldCharType="separate"/>
      </w:r>
      <w:r>
        <w:rPr/>
      </w:r>
      <w:r>
        <w:rPr/>
        <w:fldChar w:fldCharType="end"/>
      </w:r>
      <w:bookmarkStart w:id="94" w:name="__RefHeading___Toc535051614"/>
      <w:bookmarkEnd w:id="94"/>
      <w:r>
        <w:rPr/>
        <w:t>.  All documents to be delivered by Sellers or to be entered into by Sellers and Buyer necessary to carry out the transactions contemplated by this Agreement or contemplated by the terms of this Agreement shall be reasonably satisfactory in form and substance to Buyer and counsel to Buyer and all documents to be delivered by Buyer necessary to carry out the transactions contemplated by this Agreement or to be entered into by Sellers and Buyer necessary to carry out the transactions contemplated by this Agreement shall be reasonably satisfactory in form and substance to Sellers and counsel to Sellers.</w:t>
      </w:r>
    </w:p>
    <w:p>
      <w:pPr>
        <w:pStyle w:val="Heading1"/>
        <w:numPr>
          <w:ilvl w:val="0"/>
          <w:numId w:val="12"/>
        </w:numPr>
        <w:ind w:hanging="0" w:start="0"/>
        <w:rPr/>
      </w:pPr>
      <w:r>
        <w:rPr/>
        <w:br/>
        <w:br/>
        <w:t>Termination</w:t>
      </w:r>
      <w:r>
        <w:fldChar w:fldCharType="begin"/>
      </w:r>
      <w:r>
        <w:rPr/>
        <w:instrText xml:space="preserve"> TC "ARTICLE 12_x000b__x000b_Termination" \l 1 </w:instrText>
      </w:r>
      <w:r>
        <w:rPr/>
        <w:fldChar w:fldCharType="separate"/>
      </w:r>
      <w:r>
        <w:rPr/>
      </w:r>
      <w:r>
        <w:rPr/>
        <w:fldChar w:fldCharType="end"/>
      </w:r>
    </w:p>
    <w:p>
      <w:pPr>
        <w:pStyle w:val="Heading2"/>
        <w:numPr>
          <w:ilvl w:val="1"/>
          <w:numId w:val="12"/>
        </w:numPr>
        <w:ind w:hanging="0" w:start="0"/>
        <w:rPr/>
      </w:pPr>
      <w:r>
        <w:rPr>
          <w:u w:val="single"/>
        </w:rPr>
        <w:t>Termination</w:t>
      </w:r>
      <w:r>
        <w:fldChar w:fldCharType="begin"/>
      </w:r>
      <w:r>
        <w:rPr/>
        <w:instrText xml:space="preserve"> TC "Section 12.1</w:instrText>
        <w:tab/>
        <w:instrText xml:space="preserve">Termination</w:instrText>
        <w:tab/>
        <w:instrText xml:space="preserve">“ \f C \l “2" \l 1 </w:instrText>
      </w:r>
      <w:r>
        <w:rPr/>
        <w:fldChar w:fldCharType="separate"/>
      </w:r>
      <w:r>
        <w:rPr/>
      </w:r>
      <w:r>
        <w:rPr/>
        <w:fldChar w:fldCharType="end"/>
      </w:r>
      <w:bookmarkStart w:id="95" w:name="__RefHeading___Toc535051615"/>
      <w:bookmarkEnd w:id="95"/>
      <w:r>
        <w:rPr/>
        <w:t>.  This Agreement may be terminated and the transactions contemplated hereby abandoned at any time prior to the Closing:</w:t>
      </w:r>
    </w:p>
    <w:p>
      <w:pPr>
        <w:pStyle w:val="Heading3"/>
        <w:numPr>
          <w:ilvl w:val="2"/>
          <w:numId w:val="12"/>
        </w:numPr>
        <w:ind w:hanging="0" w:start="0"/>
        <w:rPr/>
      </w:pPr>
      <w:r>
        <w:rPr/>
        <w:t>upon the written agreement of Enron and Buyer;</w:t>
      </w:r>
    </w:p>
    <w:p>
      <w:pPr>
        <w:pStyle w:val="Heading3"/>
        <w:numPr>
          <w:ilvl w:val="2"/>
          <w:numId w:val="12"/>
        </w:numPr>
        <w:ind w:hanging="0" w:start="0"/>
        <w:rPr/>
      </w:pPr>
      <w:r>
        <w:rPr/>
        <w:t xml:space="preserve">by either Sellers or Buyer if the Closing has not occurred by January 31, 2002, </w:t>
      </w:r>
      <w:r>
        <w:rPr>
          <w:u w:val="single"/>
        </w:rPr>
        <w:t>provided</w:t>
      </w:r>
      <w:r>
        <w:rPr/>
        <w:t xml:space="preserve">, </w:t>
      </w:r>
      <w:r>
        <w:rPr>
          <w:u w:val="single"/>
        </w:rPr>
        <w:t>however</w:t>
      </w:r>
      <w:r>
        <w:rPr/>
        <w:t>, that the failure of the Closing to have occurred by such date is not due to a material breach by the terminating party of its representations, warranties or covenants hereunder;</w:t>
      </w:r>
    </w:p>
    <w:p>
      <w:pPr>
        <w:pStyle w:val="Heading3"/>
        <w:numPr>
          <w:ilvl w:val="2"/>
          <w:numId w:val="12"/>
        </w:numPr>
        <w:ind w:hanging="0" w:start="0"/>
        <w:rPr/>
      </w:pPr>
      <w:r>
        <w:rPr/>
        <w:t>by either Sellers or Buyer, if there shall be any law or regulation that makes consummation of the transactions contemplated hereby illegal or otherwise prohibited or if any judgment, injunction, order or decree permanently restraining, prohibiting or enjoining Buyer or Enron from consummating the transactions contemplated hereby is entered and such judgment, injunction, order or decree shall become final and non-appealable;</w:t>
      </w:r>
    </w:p>
    <w:p>
      <w:pPr>
        <w:pStyle w:val="Heading3"/>
        <w:numPr>
          <w:ilvl w:val="2"/>
          <w:numId w:val="12"/>
        </w:numPr>
        <w:ind w:hanging="0" w:start="0"/>
        <w:rPr/>
      </w:pPr>
      <w:r>
        <w:rPr/>
        <w:t xml:space="preserve">by Sellers, if there shall have been a breach by Buyer of any of its representations, warranties, covenants or agreements contained herein, which breach would result in the failure of one or more of the conditions set forth in Article 9 to be satisfied and such breach shall be incapable of being cured or, if capable of being cured, shall not have been cured within 15 days after written notice thereof shall have been received by Buyer; </w:t>
      </w:r>
    </w:p>
    <w:p>
      <w:pPr>
        <w:pStyle w:val="Heading3"/>
        <w:numPr>
          <w:ilvl w:val="2"/>
          <w:numId w:val="12"/>
        </w:numPr>
        <w:ind w:hanging="0" w:start="0"/>
        <w:rPr/>
      </w:pPr>
      <w:r>
        <w:rPr/>
        <w:t>by Buyer, if there shall have been a breach by any Seller of any of its representations, warranties, covenants or agreements contained in this Agreement, which breach would result in the failure of one or more of the conditions set forth in Article 8 to be satisfied, and such breach shall be incapable of being cured or, if capable of being cured, shall not have been cured within 15 days after written notice thereof shall have been received by Enron; or</w:t>
      </w:r>
    </w:p>
    <w:p>
      <w:pPr>
        <w:pStyle w:val="Heading3"/>
        <w:numPr>
          <w:ilvl w:val="2"/>
          <w:numId w:val="12"/>
        </w:numPr>
        <w:ind w:hanging="0" w:start="0"/>
        <w:rPr/>
      </w:pPr>
      <w:r>
        <w:rPr/>
        <w:t>by Buyer, if the Bankruptcy Court Approval shall not have become a Final Order by January 22, 2002.</w:t>
      </w:r>
    </w:p>
    <w:p>
      <w:pPr>
        <w:pStyle w:val="Heading2"/>
        <w:numPr>
          <w:ilvl w:val="1"/>
          <w:numId w:val="12"/>
        </w:numPr>
        <w:ind w:hanging="0" w:start="0"/>
        <w:rPr/>
      </w:pPr>
      <w:r>
        <w:rPr>
          <w:u w:val="single"/>
        </w:rPr>
        <w:t>Procedure and Effect of Termination</w:t>
      </w:r>
      <w:r>
        <w:fldChar w:fldCharType="begin"/>
      </w:r>
      <w:r>
        <w:rPr/>
        <w:instrText xml:space="preserve"> TC "Section 12.2</w:instrText>
        <w:tab/>
        <w:instrText xml:space="preserve">Procedure and Effect of Termination</w:instrText>
        <w:tab/>
        <w:instrText xml:space="preserve">“ \f C \l “2" \l 1 </w:instrText>
      </w:r>
      <w:r>
        <w:rPr/>
        <w:fldChar w:fldCharType="separate"/>
      </w:r>
      <w:r>
        <w:rPr/>
      </w:r>
      <w:r>
        <w:rPr/>
        <w:fldChar w:fldCharType="end"/>
      </w:r>
      <w:bookmarkStart w:id="96" w:name="__RefHeading___Toc535051616"/>
      <w:bookmarkEnd w:id="96"/>
      <w:r>
        <w:rPr/>
        <w:t xml:space="preserve">.  In the event of termination of this Agreement by either or both of the Sellers and Buyer pursuant to Section 12.1, written notice thereof shall forthwith be given by the terminating party to the other parties hereto, and this Agreement shall thereupon terminate and become void and have no effect, and the transactions contemplated hereby shall be abandoned without further action by the parties hereto; </w:t>
      </w:r>
      <w:r>
        <w:rPr>
          <w:u w:val="single"/>
        </w:rPr>
        <w:t>provided</w:t>
      </w:r>
      <w:r>
        <w:rPr/>
        <w:t>,</w:t>
      </w:r>
      <w:r>
        <w:rPr>
          <w:u w:val="single"/>
        </w:rPr>
        <w:t xml:space="preserve"> however</w:t>
      </w:r>
      <w:r>
        <w:rPr/>
        <w:t>, that such termination shall not relieve any party hereto of any liability for any breach hereof.</w:t>
      </w:r>
    </w:p>
    <w:p>
      <w:pPr>
        <w:pStyle w:val="Heading1"/>
        <w:numPr>
          <w:ilvl w:val="0"/>
          <w:numId w:val="12"/>
        </w:numPr>
        <w:ind w:hanging="0" w:start="0"/>
        <w:rPr/>
      </w:pPr>
      <w:r>
        <w:rPr/>
        <w:br/>
        <w:br/>
        <w:t>Miscellaneous</w:t>
      </w:r>
      <w:r>
        <w:fldChar w:fldCharType="begin"/>
      </w:r>
      <w:r>
        <w:rPr/>
        <w:instrText xml:space="preserve"> TC "ARTICLE 13_x000b__x000b_Miscellaneous" \l 1 </w:instrText>
      </w:r>
      <w:r>
        <w:rPr/>
        <w:fldChar w:fldCharType="separate"/>
      </w:r>
      <w:r>
        <w:rPr/>
      </w:r>
      <w:r>
        <w:rPr/>
        <w:fldChar w:fldCharType="end"/>
      </w:r>
    </w:p>
    <w:p>
      <w:pPr>
        <w:pStyle w:val="Heading2"/>
        <w:numPr>
          <w:ilvl w:val="1"/>
          <w:numId w:val="12"/>
        </w:numPr>
        <w:ind w:hanging="0" w:start="0"/>
        <w:rPr/>
      </w:pPr>
      <w:r>
        <w:rPr>
          <w:u w:val="single"/>
        </w:rPr>
        <w:t>Survival of Representations and Warranties, Etc.</w:t>
      </w:r>
      <w:r>
        <w:fldChar w:fldCharType="begin"/>
      </w:r>
      <w:r>
        <w:rPr/>
        <w:instrText xml:space="preserve"> TC "Section 13.1</w:instrText>
        <w:tab/>
        <w:instrText xml:space="preserve">Survival of Representations and Warranties, Etc.</w:instrText>
        <w:tab/>
        <w:instrText xml:space="preserve">“ \f C \l “2" \l 1 </w:instrText>
      </w:r>
      <w:r>
        <w:rPr/>
        <w:fldChar w:fldCharType="separate"/>
      </w:r>
      <w:r>
        <w:rPr/>
      </w:r>
      <w:r>
        <w:rPr/>
        <w:fldChar w:fldCharType="end"/>
      </w:r>
      <w:bookmarkStart w:id="97" w:name="__RefHeading___Toc535051617"/>
      <w:bookmarkEnd w:id="97"/>
      <w:r>
        <w:rPr/>
        <w:t xml:space="preserve">  The representations and warranties contained in this Agreement shall survive the execution and delivery of this Agreement, the consummation of the transactions contemplated hereby, any examination by or on behalf of the parties hereto, and the completion of the transactions contemplated herein, until the applicable date set forth in the following clauses:</w:t>
      </w:r>
    </w:p>
    <w:p>
      <w:pPr>
        <w:pStyle w:val="Heading4"/>
        <w:numPr>
          <w:ilvl w:val="3"/>
          <w:numId w:val="12"/>
        </w:numPr>
        <w:ind w:hanging="0" w:start="0"/>
        <w:rPr/>
      </w:pPr>
      <w:r>
        <w:rPr/>
        <w:t>except as set forth in clause (ii), (iii) and (iv) below, until the first anniversary of the Closing Date;</w:t>
      </w:r>
    </w:p>
    <w:p>
      <w:pPr>
        <w:pStyle w:val="Heading4"/>
        <w:numPr>
          <w:ilvl w:val="3"/>
          <w:numId w:val="12"/>
        </w:numPr>
        <w:ind w:hanging="0" w:start="0"/>
        <w:rPr/>
      </w:pPr>
      <w:r>
        <w:rPr/>
        <w:t>with respect to the representations and warranties contained in Section 3.6 (Business Intellectual Property), until the third anniversary of the Closing Date;</w:t>
      </w:r>
    </w:p>
    <w:p>
      <w:pPr>
        <w:pStyle w:val="Heading4"/>
        <w:numPr>
          <w:ilvl w:val="3"/>
          <w:numId w:val="12"/>
        </w:numPr>
        <w:ind w:hanging="0" w:start="0"/>
        <w:rPr/>
      </w:pPr>
      <w:r>
        <w:rPr/>
        <w:t xml:space="preserve">with respect to the representations and warranties contained in Sections 3.1 (Incorporation), 3.2 (Authorization) and 4.1 (Incorporation; Authority; Etc.) and the first sentence of Section 3.3 (Assets), survive without limitation; </w:t>
      </w:r>
    </w:p>
    <w:p>
      <w:pPr>
        <w:pStyle w:val="Heading4"/>
        <w:numPr>
          <w:ilvl w:val="3"/>
          <w:numId w:val="12"/>
        </w:numPr>
        <w:ind w:hanging="0" w:start="0"/>
        <w:rPr/>
      </w:pPr>
      <w:r>
        <w:rPr/>
        <w:t>with respect to the representations and warranties contained in Section 7.1 (Tax Representations), survive as to any Tax covered by such representations and warranties for so long as the applicable statute of limitations for such Tax remains open, in whole or in part, including by reason of waiver of such statute of limitations.</w:t>
      </w:r>
    </w:p>
    <w:p>
      <w:pPr>
        <w:pStyle w:val="Heading2"/>
        <w:numPr>
          <w:ilvl w:val="1"/>
          <w:numId w:val="12"/>
        </w:numPr>
        <w:ind w:hanging="0" w:start="0"/>
        <w:rPr>
          <w:u w:val="single"/>
        </w:rPr>
      </w:pPr>
      <w:r>
        <w:rPr>
          <w:u w:val="single"/>
        </w:rPr>
        <w:t>Survival of Covenants</w:t>
      </w:r>
      <w:r>
        <w:fldChar w:fldCharType="begin"/>
      </w:r>
      <w:r>
        <w:rPr/>
        <w:instrText xml:space="preserve"> TC "Section 13.2</w:instrText>
        <w:tab/>
        <w:instrText xml:space="preserve">Survival of Covenants</w:instrText>
        <w:tab/>
        <w:instrText xml:space="preserve">“ \f C \l “2" \l 1 </w:instrText>
      </w:r>
      <w:r>
        <w:rPr/>
        <w:fldChar w:fldCharType="separate"/>
      </w:r>
      <w:r>
        <w:rPr/>
      </w:r>
      <w:r>
        <w:rPr/>
        <w:fldChar w:fldCharType="end"/>
      </w:r>
      <w:bookmarkStart w:id="98" w:name="__RefHeading___Toc535051618"/>
      <w:bookmarkEnd w:id="98"/>
      <w:r>
        <w:rPr/>
        <w:t>.  The covenants and agreements of the parties contained in this Agreement shall survive the Closing.  Any and all covenants relating to Taxes shall survive so long as the applicable statute of limitations remains open, in whole or in part, including by reason of waiver of such statute of limitations.</w:t>
      </w:r>
    </w:p>
    <w:p>
      <w:pPr>
        <w:pStyle w:val="Heading2"/>
        <w:numPr>
          <w:ilvl w:val="1"/>
          <w:numId w:val="12"/>
        </w:numPr>
        <w:ind w:hanging="0" w:start="0"/>
        <w:rPr/>
      </w:pPr>
      <w:r>
        <w:rPr>
          <w:u w:val="single"/>
        </w:rPr>
        <w:t>Bankruptcy Court Approval</w:t>
      </w:r>
      <w:r>
        <w:fldChar w:fldCharType="begin"/>
      </w:r>
      <w:r>
        <w:rPr/>
        <w:instrText xml:space="preserve"> TC "Section 13.4</w:instrText>
        <w:tab/>
        <w:instrText xml:space="preserve">Bankruptcy Court Approval</w:instrText>
        <w:tab/>
        <w:instrText xml:space="preserve">“ \f C \l “2" \l 1 </w:instrText>
      </w:r>
      <w:r>
        <w:rPr/>
        <w:fldChar w:fldCharType="separate"/>
      </w:r>
      <w:r>
        <w:rPr/>
      </w:r>
      <w:r>
        <w:rPr/>
        <w:fldChar w:fldCharType="end"/>
      </w:r>
      <w:bookmarkStart w:id="99" w:name="__RefHeading___Toc535051619"/>
      <w:bookmarkEnd w:id="99"/>
      <w:r>
        <w:rPr/>
        <w:t>.  Sellers’ obligations under this Agreement are subject to Bankruptcy Court Approval to the extent (and only to the extent) required by law.</w:t>
      </w:r>
    </w:p>
    <w:p>
      <w:pPr>
        <w:pStyle w:val="Heading2"/>
        <w:numPr>
          <w:ilvl w:val="1"/>
          <w:numId w:val="12"/>
        </w:numPr>
        <w:ind w:hanging="0" w:start="0"/>
        <w:rPr/>
      </w:pPr>
      <w:r>
        <w:rPr>
          <w:u w:val="single"/>
        </w:rPr>
        <w:t>Company as Agent and Representative</w:t>
      </w:r>
      <w:r>
        <w:fldChar w:fldCharType="begin"/>
      </w:r>
      <w:r>
        <w:rPr/>
        <w:instrText xml:space="preserve"> TC "Section 13.4</w:instrText>
        <w:tab/>
        <w:instrText xml:space="preserve">Company as Agent and Representative</w:instrText>
        <w:tab/>
        <w:instrText xml:space="preserve">“ \f C \l “2" \l 1 </w:instrText>
      </w:r>
      <w:r>
        <w:rPr/>
        <w:fldChar w:fldCharType="separate"/>
      </w:r>
      <w:r>
        <w:rPr/>
      </w:r>
      <w:r>
        <w:rPr/>
        <w:fldChar w:fldCharType="end"/>
      </w:r>
      <w:bookmarkStart w:id="100" w:name="__RefHeading___Toc535051620"/>
      <w:bookmarkEnd w:id="100"/>
      <w:r>
        <w:rPr/>
        <w:t>.  Any obligation by Buyer to make payment or deliveries to all or any Sellers shall be satisfied by payment or delivery, as the case may be, to Enron.  Enron is authorized by this Agreement, as a specific term of the Asset Purchase provided for herein, to act on behalf of and as representative, agent, and attorney, in fact or otherwise, of the Sellers and their successors under this Agreement.</w:t>
      </w:r>
    </w:p>
    <w:p>
      <w:pPr>
        <w:pStyle w:val="Heading2"/>
        <w:numPr>
          <w:ilvl w:val="1"/>
          <w:numId w:val="12"/>
        </w:numPr>
        <w:ind w:hanging="0" w:start="0"/>
        <w:rPr/>
      </w:pPr>
      <w:r>
        <w:rPr>
          <w:u w:val="single"/>
        </w:rPr>
        <w:t>Notices</w:t>
      </w:r>
      <w:r>
        <w:rPr/>
        <w:t>.</w:t>
      </w:r>
      <w:r>
        <w:fldChar w:fldCharType="begin"/>
      </w:r>
      <w:r>
        <w:rPr/>
        <w:instrText xml:space="preserve"> TC "Section 13.5</w:instrText>
        <w:tab/>
        <w:instrText xml:space="preserve">Notices</w:instrText>
        <w:tab/>
        <w:instrText xml:space="preserve"> </w:instrText>
        <w:tab/>
        <w:instrText xml:space="preserve">“\f C \l</w:instrText>
        <w:tab/>
        <w:instrText xml:space="preserve">“2" \l 1 </w:instrText>
      </w:r>
      <w:r>
        <w:rPr/>
        <w:fldChar w:fldCharType="separate"/>
      </w:r>
      <w:r>
        <w:rPr/>
      </w:r>
      <w:r>
        <w:rPr/>
        <w:fldChar w:fldCharType="end"/>
      </w:r>
      <w:bookmarkStart w:id="101" w:name="__RefHeading___Toc535051621"/>
      <w:bookmarkEnd w:id="101"/>
      <w:r>
        <w:rPr/>
        <w:t xml:space="preserve">  All notices, requests and other communications to any party hereunder shall be in writing (including telecopy or similar writing) and shall be given,</w:t>
      </w:r>
    </w:p>
    <w:p>
      <w:pPr>
        <w:pStyle w:val="BodyText"/>
        <w:keepNext w:val="true"/>
        <w:rPr/>
      </w:pPr>
      <w:r>
        <w:rPr/>
        <w:t>if to Buyer or Parent, to:</w:t>
      </w:r>
    </w:p>
    <w:p>
      <w:pPr>
        <w:pStyle w:val="Notice"/>
        <w:rPr/>
      </w:pPr>
      <w:r>
        <w:rPr/>
        <w:t>Salomon Smith Barney Holdings Inc.</w:t>
        <w:br/>
        <w:t>388 Greenwich Street</w:t>
        <w:br/>
        <w:t>New York, NY  10013</w:t>
        <w:br/>
        <w:t>Telecopy:  (212) 816-7784</w:t>
        <w:br/>
        <w:t>Attn:  Chief Financial Officer</w:t>
      </w:r>
    </w:p>
    <w:p>
      <w:pPr>
        <w:pStyle w:val="BodyText"/>
        <w:keepNext w:val="true"/>
        <w:rPr/>
      </w:pPr>
      <w:r>
        <w:rPr/>
        <w:t>with a copies to:</w:t>
      </w:r>
    </w:p>
    <w:p>
      <w:pPr>
        <w:pStyle w:val="Notice"/>
        <w:rPr/>
      </w:pPr>
      <w:r>
        <w:rPr/>
        <w:t>Citigroup Inc.</w:t>
        <w:br/>
        <w:t>399 Park Avenue</w:t>
        <w:br/>
        <w:t>New York, NY 10043</w:t>
        <w:br/>
        <w:t>Telecopy:  (212) 793-2402 and (212) 793-7600</w:t>
        <w:br/>
        <w:t>Attn:  Andrew M. Felner</w:t>
        <w:br/>
        <w:tab/>
        <w:t>Associate General Counsel</w:t>
      </w:r>
    </w:p>
    <w:p>
      <w:pPr>
        <w:pStyle w:val="Notice"/>
        <w:ind w:start="1440" w:end="0"/>
        <w:rPr/>
      </w:pPr>
      <w:r>
        <w:rPr/>
        <w:t>and</w:t>
      </w:r>
    </w:p>
    <w:p>
      <w:pPr>
        <w:pStyle w:val="Notice"/>
        <w:rPr/>
      </w:pPr>
      <w:r>
        <w:rPr/>
        <w:t>Wachtell, Lipton, Rosen &amp; Katz</w:t>
        <w:br/>
        <w:t>51 West 52nd Street</w:t>
        <w:br/>
        <w:t>New York, NY  10019</w:t>
        <w:br/>
        <w:t>Telecopy:  (212) 403-2000</w:t>
        <w:br/>
        <w:t xml:space="preserve">Attn:  </w:t>
        <w:tab/>
        <w:t>Eric S. Robinson</w:t>
        <w:br/>
        <w:tab/>
        <w:t>Steven A. Cohen</w:t>
      </w:r>
    </w:p>
    <w:p>
      <w:pPr>
        <w:pStyle w:val="BodyText"/>
        <w:keepNext w:val="true"/>
        <w:rPr/>
      </w:pPr>
      <w:r>
        <w:rPr/>
        <w:t>if to any Seller, to:</w:t>
      </w:r>
    </w:p>
    <w:p>
      <w:pPr>
        <w:pStyle w:val="Notice"/>
        <w:rPr/>
      </w:pPr>
      <w:r>
        <w:rPr/>
        <w:t>Enron Corp.</w:t>
        <w:br/>
        <w:t>______________________</w:t>
        <w:br/>
        <w:t>______________________</w:t>
        <w:br/>
        <w:t>Telecopy:  _____________</w:t>
        <w:br/>
        <w:t>Attn:  _________________</w:t>
      </w:r>
    </w:p>
    <w:p>
      <w:pPr>
        <w:pStyle w:val="BodyText"/>
        <w:keepNext w:val="true"/>
        <w:keepLines/>
        <w:rPr/>
      </w:pPr>
      <w:r>
        <w:rPr/>
        <w:t>with a copy to:</w:t>
        <w:tab/>
        <w:tab/>
        <w:tab/>
        <w:t>Weil, Gotshal &amp; Manges</w:t>
        <w:br/>
        <w:tab/>
        <w:tab/>
        <w:tab/>
        <w:tab/>
        <w:tab/>
        <w:tab/>
        <w:t>767 Fifth Avenue</w:t>
        <w:br/>
        <w:tab/>
        <w:tab/>
        <w:tab/>
        <w:tab/>
        <w:tab/>
        <w:tab/>
        <w:t>New York, NY  10153</w:t>
        <w:br/>
        <w:tab/>
        <w:tab/>
        <w:tab/>
        <w:tab/>
        <w:tab/>
        <w:tab/>
        <w:t>Telecopy: (212) 310-8007</w:t>
        <w:br/>
        <w:tab/>
        <w:tab/>
        <w:tab/>
        <w:tab/>
        <w:tab/>
        <w:tab/>
        <w:t xml:space="preserve">Attn: </w:t>
        <w:tab/>
        <w:t>Thomas A. Roberts</w:t>
        <w:br/>
        <w:tab/>
        <w:tab/>
        <w:tab/>
        <w:tab/>
        <w:tab/>
        <w:tab/>
        <w:tab/>
        <w:t>Marita A. Makinen</w:t>
      </w:r>
    </w:p>
    <w:p>
      <w:pPr>
        <w:pStyle w:val="Normal"/>
        <w:rPr/>
      </w:pPr>
      <w:r>
        <w:rPr/>
      </w:r>
    </w:p>
    <w:p>
      <w:pPr>
        <w:pStyle w:val="Normal"/>
        <w:rPr/>
      </w:pPr>
      <w:r>
        <w:rPr/>
        <w:t>or such other address or telecopy number as such party may hereafter specify for the purpose by notice to the other parties hereto.  Each such notice, request or other communication shall be effective when delivered at the address specified in this Section.</w:t>
      </w:r>
    </w:p>
    <w:p>
      <w:pPr>
        <w:pStyle w:val="Normal"/>
        <w:rPr/>
      </w:pPr>
      <w:r>
        <w:rPr/>
      </w:r>
    </w:p>
    <w:p>
      <w:pPr>
        <w:pStyle w:val="Heading2"/>
        <w:numPr>
          <w:ilvl w:val="1"/>
          <w:numId w:val="12"/>
        </w:numPr>
        <w:ind w:hanging="0" w:start="0"/>
        <w:rPr/>
      </w:pPr>
      <w:r>
        <w:rPr>
          <w:u w:val="single"/>
        </w:rPr>
        <w:t>Amendments; No Waivers</w:t>
      </w:r>
      <w:r>
        <w:rPr/>
        <w:t>.</w:t>
      </w:r>
      <w:r>
        <w:fldChar w:fldCharType="begin"/>
      </w:r>
      <w:r>
        <w:rPr/>
        <w:instrText xml:space="preserve"> TC "Section 13.6</w:instrText>
        <w:tab/>
        <w:instrText xml:space="preserve">Amendments; No Waivers</w:instrText>
        <w:tab/>
        <w:instrText xml:space="preserve"> </w:instrText>
        <w:tab/>
        <w:instrText xml:space="preserve">“\f C \l</w:instrText>
        <w:tab/>
        <w:instrText xml:space="preserve">“2" \l 1 </w:instrText>
      </w:r>
      <w:r>
        <w:rPr/>
        <w:fldChar w:fldCharType="separate"/>
      </w:r>
      <w:r>
        <w:rPr/>
      </w:r>
      <w:r>
        <w:rPr/>
        <w:fldChar w:fldCharType="end"/>
      </w:r>
      <w:bookmarkStart w:id="102" w:name="__RefHeading___Toc535051622"/>
      <w:bookmarkEnd w:id="102"/>
      <w:r>
        <w:rPr/>
        <w:t xml:space="preserve">  (a)  Any provision of this Agreement may be amended or waived if, and only if, such amendment or waiver is in writing and signed, in the case of an amendment, by Enron (and, if then existing, the creditors committee in the Bankruptcy Case) and Buyer, or, in the case of a waiver, by the party against whom the waiver is to be effective (including, if Enron, the creditors committee in the Bankruptcy Case if then existing).</w:t>
      </w:r>
    </w:p>
    <w:p>
      <w:pPr>
        <w:pStyle w:val="Heading3"/>
        <w:numPr>
          <w:ilvl w:val="2"/>
          <w:numId w:val="18"/>
        </w:numPr>
        <w:rPr/>
      </w:pPr>
      <w:r>
        <w:rPr/>
        <w:t xml:space="preserve">No failure or delay by any party in exercising any right, power or privilege hereunder shall operate as a waiver thereof nor shall any single or partial exercise thereof preclude any other or further exercise thereof or the exercise of any other right, power or privilege.  </w:t>
      </w:r>
    </w:p>
    <w:p>
      <w:pPr>
        <w:pStyle w:val="Heading2"/>
        <w:numPr>
          <w:ilvl w:val="1"/>
          <w:numId w:val="12"/>
        </w:numPr>
        <w:ind w:hanging="0" w:start="0"/>
        <w:rPr/>
      </w:pPr>
      <w:r>
        <w:rPr>
          <w:u w:val="single"/>
        </w:rPr>
        <w:t>Successors and Assigns</w:t>
      </w:r>
      <w:r>
        <w:rPr/>
        <w:t>.</w:t>
      </w:r>
      <w:r>
        <w:fldChar w:fldCharType="begin"/>
      </w:r>
      <w:r>
        <w:rPr/>
        <w:instrText xml:space="preserve"> TC "Section 13.7</w:instrText>
        <w:tab/>
        <w:instrText xml:space="preserve">Successors and Assigns</w:instrText>
        <w:tab/>
        <w:instrText xml:space="preserve"> </w:instrText>
        <w:tab/>
        <w:instrText xml:space="preserve">“\f C \l</w:instrText>
        <w:tab/>
        <w:instrText xml:space="preserve">“2" \l 1 </w:instrText>
      </w:r>
      <w:r>
        <w:rPr/>
        <w:fldChar w:fldCharType="separate"/>
      </w:r>
      <w:r>
        <w:rPr/>
      </w:r>
      <w:r>
        <w:rPr/>
        <w:fldChar w:fldCharType="end"/>
      </w:r>
      <w:bookmarkStart w:id="103" w:name="__RefHeading___Toc535051623"/>
      <w:bookmarkEnd w:id="103"/>
      <w:r>
        <w:rPr/>
        <w:t xml:space="preserve">  The provisions of this Agreement shall be binding, upon and inure to the benefit of the parties hereto and their respective successors and assigns, </w:t>
      </w:r>
      <w:r>
        <w:rPr>
          <w:u w:val="single"/>
        </w:rPr>
        <w:t>provided</w:t>
      </w:r>
      <w:r>
        <w:rPr/>
        <w:t xml:space="preserve"> that no party may assign, delegate or otherwise transfer any of its rights or obligations under this Agreement, including any right to Annual Share Payments, Partial Termination Payments, Full Termination Payments or other payments in respect of this Agreement, without the prior written consent of the other parties hereto except that Buyer may transfer or assign, in whole or from time to time in part, to one or more of Buyer’s wholly-owned subsidiaries, any or all of its rights or obligations, but any such transfer or assignment shall not relieve Buyer of its obligations under this Agreement.  </w:t>
      </w:r>
    </w:p>
    <w:p>
      <w:pPr>
        <w:pStyle w:val="Heading2"/>
        <w:numPr>
          <w:ilvl w:val="1"/>
          <w:numId w:val="12"/>
        </w:numPr>
        <w:ind w:hanging="0" w:start="0"/>
        <w:rPr/>
      </w:pPr>
      <w:r>
        <w:rPr>
          <w:u w:val="single"/>
        </w:rPr>
        <w:t>Entire Agreement; No Third Party Beneficiaries</w:t>
      </w:r>
      <w:r>
        <w:fldChar w:fldCharType="begin"/>
      </w:r>
      <w:r>
        <w:rPr/>
        <w:instrText xml:space="preserve"> TC "Section 13.8</w:instrText>
        <w:tab/>
        <w:instrText xml:space="preserve">Entire Agreement; No Third Party Beneficiaries</w:instrText>
        <w:tab/>
        <w:instrText xml:space="preserve">“ \f C \l 2" \l 1 </w:instrText>
      </w:r>
      <w:r>
        <w:rPr/>
        <w:fldChar w:fldCharType="separate"/>
      </w:r>
      <w:r>
        <w:rPr/>
      </w:r>
      <w:r>
        <w:rPr/>
        <w:fldChar w:fldCharType="end"/>
      </w:r>
      <w:bookmarkStart w:id="104" w:name="__RefHeading___Toc535051624"/>
      <w:bookmarkEnd w:id="104"/>
      <w:r>
        <w:rPr/>
        <w:t>.</w:t>
      </w:r>
      <w:r>
        <w:rPr>
          <w:b/>
        </w:rPr>
        <w:t xml:space="preserve">  </w:t>
      </w:r>
      <w:r>
        <w:rPr/>
        <w:t xml:space="preserve">(a)  This Agreement constitutes the entire agreement and supersedes all prior agreements and understandings, both written and oral, among the parties with respect to the transactions contemplated by this Agreement, other than that certain letter relating to confidentiality and dated December 5, 2001, between Parent and Enron, and that certain letter relating to non-solicitation and dated November 29, 2001, between Parent and Enron, each of which shall survive the execution and delivery of this Agreement. </w:t>
      </w:r>
    </w:p>
    <w:p>
      <w:pPr>
        <w:pStyle w:val="Heading3"/>
        <w:numPr>
          <w:ilvl w:val="2"/>
          <w:numId w:val="19"/>
        </w:numPr>
        <w:rPr/>
      </w:pPr>
      <w:r>
        <w:rPr/>
        <w:t>Except as provided in Section 13.7, this Agreement shall be binding upon and inure solely to the benefit of each party hereto, and nothing in this Agreement, express or implied, is intended to or shall confer upon any other Person any right, benefit or remedy of any nature whatsoever under or by reason of this Agreement.</w:t>
      </w:r>
    </w:p>
    <w:p>
      <w:pPr>
        <w:pStyle w:val="Heading2"/>
        <w:numPr>
          <w:ilvl w:val="1"/>
          <w:numId w:val="12"/>
        </w:numPr>
        <w:ind w:hanging="0" w:start="0"/>
        <w:rPr/>
      </w:pPr>
      <w:r>
        <w:rPr>
          <w:u w:val="single"/>
        </w:rPr>
        <w:t>Counterparts</w:t>
      </w:r>
      <w:r>
        <w:rPr/>
        <w:t>.</w:t>
      </w:r>
      <w:r>
        <w:fldChar w:fldCharType="begin"/>
      </w:r>
      <w:r>
        <w:rPr/>
        <w:instrText xml:space="preserve"> TC "Section 13.9</w:instrText>
        <w:tab/>
        <w:instrText xml:space="preserve">Counterparts</w:instrText>
        <w:tab/>
        <w:instrText xml:space="preserve"> </w:instrText>
        <w:tab/>
        <w:instrText xml:space="preserve">“\f C \l</w:instrText>
        <w:tab/>
        <w:instrText xml:space="preserve">“2" \l 1 </w:instrText>
      </w:r>
      <w:r>
        <w:rPr/>
        <w:fldChar w:fldCharType="separate"/>
      </w:r>
      <w:r>
        <w:rPr/>
      </w:r>
      <w:r>
        <w:rPr/>
        <w:fldChar w:fldCharType="end"/>
      </w:r>
      <w:bookmarkStart w:id="105" w:name="__RefHeading___Toc535051625"/>
      <w:bookmarkEnd w:id="105"/>
      <w:r>
        <w:rPr/>
        <w:t xml:space="preserve">  This Agreement may be signed in any number of counterparts, each of which shall be an original, with the same effect as if the signatures thereto and hereto were upon the same instrument.  This Agreement shall become effective when each party hereto shall have received counterparts hereof signed by all of the other parties hereto.  </w:t>
      </w:r>
    </w:p>
    <w:p>
      <w:pPr>
        <w:pStyle w:val="Heading2"/>
        <w:numPr>
          <w:ilvl w:val="1"/>
          <w:numId w:val="12"/>
        </w:numPr>
        <w:ind w:hanging="0" w:start="0"/>
        <w:rPr/>
      </w:pPr>
      <w:r>
        <w:rPr>
          <w:u w:val="single"/>
        </w:rPr>
        <w:t>Interpretation; Absence of Presumption</w:t>
      </w:r>
      <w:r>
        <w:fldChar w:fldCharType="begin"/>
      </w:r>
      <w:r>
        <w:rPr/>
        <w:instrText xml:space="preserve"> TC "Section 13.10</w:instrText>
        <w:tab/>
        <w:instrText xml:space="preserve">Interpretation; Absence of Presumption</w:instrText>
        <w:tab/>
        <w:instrText xml:space="preserve">“ \f C \l “2" \l 1 </w:instrText>
      </w:r>
      <w:r>
        <w:rPr/>
        <w:fldChar w:fldCharType="separate"/>
      </w:r>
      <w:r>
        <w:rPr/>
      </w:r>
      <w:r>
        <w:rPr/>
        <w:fldChar w:fldCharType="end"/>
      </w:r>
      <w:bookmarkStart w:id="106" w:name="__RefHeading___Toc535051626"/>
      <w:bookmarkEnd w:id="106"/>
      <w:r>
        <w:rPr/>
        <w:t>.  (</w:t>
      </w:r>
      <w:r>
        <w:rPr>
          <w:lang w:val="en-CA"/>
        </w:rPr>
        <w:t>a</w:t>
      </w:r>
      <w:r>
        <w:rPr/>
        <w:t>)  For the purposes hereof, (</w:t>
      </w:r>
      <w:r>
        <w:rPr>
          <w:lang w:val="en-CA"/>
        </w:rPr>
        <w:t>i</w:t>
      </w:r>
      <w:r>
        <w:rPr/>
        <w:t xml:space="preserve">) words in the singular shall be held to include the plural and </w:t>
      </w:r>
      <w:r>
        <w:rPr>
          <w:i/>
        </w:rPr>
        <w:t>vice versa</w:t>
      </w:r>
      <w:r>
        <w:rPr/>
        <w:t xml:space="preserve"> and words of one gender shall be held to include the other genders as the context requires, (</w:t>
      </w:r>
      <w:r>
        <w:rPr>
          <w:lang w:val="en-CA"/>
        </w:rPr>
        <w:t>ii</w:t>
      </w:r>
      <w:r>
        <w:rPr/>
        <w:t>) the terms “hereto,” “hereof,” “herein,” “herewith,” “hereunder,” and “herefrom” and words of similar import shall, unless otherwise stated, be construed to refer to this Agreement as a whole (including all of the Schedules and Exhibits hereto) and not to any particular provision of this Agreement, and Article, Section, paragraph, Exhibit and Schedule references are to the Articles, Sections, paragraphs, Exhibits and Schedules to this Agreement unless otherwise specified, (</w:t>
      </w:r>
      <w:r>
        <w:rPr>
          <w:lang w:val="en-CA"/>
        </w:rPr>
        <w:t>iii</w:t>
      </w:r>
      <w:r>
        <w:rPr/>
        <w:t>) the word “including” and words of similar import when used in this Agreement shall mean “including, without limitation,” unless the context otherwise requires or unless otherwise specified, (</w:t>
      </w:r>
      <w:r>
        <w:rPr>
          <w:lang w:val="en-CA"/>
        </w:rPr>
        <w:t>iv</w:t>
      </w:r>
      <w:r>
        <w:rPr/>
        <w:t>) the word “or” shall not be exclusive, and (</w:t>
      </w:r>
      <w:r>
        <w:rPr>
          <w:lang w:val="en-CA"/>
        </w:rPr>
        <w:t>v</w:t>
      </w:r>
      <w:r>
        <w:rPr/>
        <w:t>) provisions shall apply, when appropriate, to successive events and transactions.</w:t>
      </w:r>
    </w:p>
    <w:p>
      <w:pPr>
        <w:pStyle w:val="Heading3"/>
        <w:numPr>
          <w:ilvl w:val="2"/>
          <w:numId w:val="20"/>
        </w:numPr>
        <w:rPr/>
      </w:pPr>
      <w:r>
        <w:rPr/>
        <w:t xml:space="preserve">This Agreement shall be construed without regard to any presumption or rule requiring construction or interpretation against the party drafting or causing any instrument to be drafted. </w:t>
      </w:r>
    </w:p>
    <w:p>
      <w:pPr>
        <w:pStyle w:val="Heading2"/>
        <w:numPr>
          <w:ilvl w:val="1"/>
          <w:numId w:val="12"/>
        </w:numPr>
        <w:ind w:hanging="0" w:start="0"/>
        <w:rPr/>
      </w:pPr>
      <w:r>
        <w:rPr>
          <w:u w:val="single"/>
        </w:rPr>
        <w:t>Severability</w:t>
      </w:r>
      <w:r>
        <w:fldChar w:fldCharType="begin"/>
      </w:r>
      <w:r>
        <w:rPr/>
        <w:instrText xml:space="preserve"> TC "Section 13.11</w:instrText>
        <w:tab/>
        <w:instrText xml:space="preserve">Severability</w:instrText>
        <w:tab/>
        <w:instrText xml:space="preserve">“ \f C \l “2" \l 1 </w:instrText>
      </w:r>
      <w:r>
        <w:rPr/>
        <w:fldChar w:fldCharType="separate"/>
      </w:r>
      <w:r>
        <w:rPr/>
      </w:r>
      <w:r>
        <w:rPr/>
        <w:fldChar w:fldCharType="end"/>
      </w:r>
      <w:bookmarkStart w:id="107" w:name="__RefHeading___Toc535051627"/>
      <w:bookmarkEnd w:id="107"/>
      <w:r>
        <w:rPr/>
        <w:t>.  Any provision hereof which is invalid or unenforceable shall be ineffective only to the extent of such invalidity or unenforceability, without affecting in any way the remaining provisions hereof.</w:t>
      </w:r>
    </w:p>
    <w:p>
      <w:pPr>
        <w:pStyle w:val="Heading2"/>
        <w:numPr>
          <w:ilvl w:val="1"/>
          <w:numId w:val="12"/>
        </w:numPr>
        <w:ind w:hanging="0" w:start="0"/>
        <w:rPr/>
      </w:pPr>
      <w:r>
        <w:rPr>
          <w:u w:val="single"/>
        </w:rPr>
        <w:t>Remedies Cumulative</w:t>
      </w:r>
      <w:r>
        <w:fldChar w:fldCharType="begin"/>
      </w:r>
      <w:r>
        <w:rPr/>
        <w:instrText xml:space="preserve"> TC "Section 13.12</w:instrText>
        <w:tab/>
        <w:instrText xml:space="preserve">Remedies Cumulative</w:instrText>
        <w:tab/>
        <w:instrText xml:space="preserve">“ \f C \l “2" \l 1 </w:instrText>
      </w:r>
      <w:r>
        <w:rPr/>
        <w:fldChar w:fldCharType="separate"/>
      </w:r>
      <w:r>
        <w:rPr/>
      </w:r>
      <w:r>
        <w:rPr/>
        <w:fldChar w:fldCharType="end"/>
      </w:r>
      <w:bookmarkStart w:id="108" w:name="__RefHeading___Toc535051628"/>
      <w:bookmarkEnd w:id="108"/>
      <w:r>
        <w:rPr/>
        <w:t>.  All rights, powers and remedies provided hereunder or otherwise available in respect hereof at law or in equity shall be cumulative and not alternative, and the exercise or beginning of the exercise of any such rights, powers and remedies by any party shall not preclude the simultaneous or later exercise of any other such right, power or remedy by such party.</w:t>
      </w:r>
    </w:p>
    <w:p>
      <w:pPr>
        <w:pStyle w:val="Heading2"/>
        <w:numPr>
          <w:ilvl w:val="1"/>
          <w:numId w:val="12"/>
        </w:numPr>
        <w:ind w:hanging="0" w:start="0"/>
        <w:rPr/>
      </w:pPr>
      <w:r>
        <w:rPr>
          <w:u w:val="single"/>
        </w:rPr>
        <w:t>Specific Performance</w:t>
      </w:r>
      <w:r>
        <w:fldChar w:fldCharType="begin"/>
      </w:r>
      <w:r>
        <w:rPr/>
        <w:instrText xml:space="preserve"> TC "Section 13.13</w:instrText>
        <w:tab/>
        <w:instrText xml:space="preserve">Specific Performance</w:instrText>
        <w:tab/>
        <w:instrText xml:space="preserve">“ \f C \l “2" \l 1 </w:instrText>
      </w:r>
      <w:r>
        <w:rPr/>
        <w:fldChar w:fldCharType="separate"/>
      </w:r>
      <w:r>
        <w:rPr/>
      </w:r>
      <w:r>
        <w:rPr/>
        <w:fldChar w:fldCharType="end"/>
      </w:r>
      <w:bookmarkStart w:id="109" w:name="__RefHeading___Toc535051629"/>
      <w:bookmarkEnd w:id="109"/>
      <w:r>
        <w:rPr/>
        <w:t>.  The parties hereto each acknowledge that, in view of the uniqueness of the subject matter hereof, each of the parties would not have an adequate remedy at law for money damages in the event that this Agreement were not performed in accordance with its terms, and therefore agree that each party shall be entitled to specific enforcement of the terms hereof in addition to any other remedy to which the parties hereto may be entitled at law or in equity.</w:t>
      </w:r>
    </w:p>
    <w:p>
      <w:pPr>
        <w:pStyle w:val="Heading2"/>
        <w:numPr>
          <w:ilvl w:val="1"/>
          <w:numId w:val="12"/>
        </w:numPr>
        <w:ind w:hanging="0" w:start="0"/>
        <w:rPr/>
      </w:pPr>
      <w:r>
        <w:rPr>
          <w:u w:val="single"/>
        </w:rPr>
        <w:t>Governing Law</w:t>
      </w:r>
      <w:r>
        <w:fldChar w:fldCharType="begin"/>
      </w:r>
      <w:r>
        <w:rPr/>
        <w:instrText xml:space="preserve"> TC "Section 13.14</w:instrText>
        <w:tab/>
        <w:instrText xml:space="preserve">Governing Law</w:instrText>
        <w:tab/>
        <w:instrText xml:space="preserve">“ \f C \l “2" \l 1 </w:instrText>
      </w:r>
      <w:r>
        <w:rPr/>
        <w:fldChar w:fldCharType="separate"/>
      </w:r>
      <w:r>
        <w:rPr/>
      </w:r>
      <w:r>
        <w:rPr/>
        <w:fldChar w:fldCharType="end"/>
      </w:r>
      <w:bookmarkStart w:id="110" w:name="__RefHeading___Toc535051630"/>
      <w:bookmarkEnd w:id="110"/>
      <w:r>
        <w:rPr/>
        <w:t>.  This Agreement shall be governed by and construed in accordance with the laws of the State of New York, without regard to the conflicts of law principles thereof that may require the application of the laws of another state.  Each party hereto hereby submits to the non-exclusive personal jurisdiction of the Bankruptcy Court for all purposes of this Agreement for so long as the Bankruptcy Cases are pending.</w:t>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pStyle w:val="Heading2"/>
        <w:numPr>
          <w:ilvl w:val="1"/>
          <w:numId w:val="12"/>
        </w:numPr>
        <w:ind w:hanging="0" w:start="0"/>
        <w:rPr/>
      </w:pPr>
      <w:r>
        <w:rPr>
          <w:u w:val="single"/>
        </w:rPr>
        <w:t>Guarantee</w:t>
      </w:r>
      <w:r>
        <w:fldChar w:fldCharType="begin"/>
      </w:r>
      <w:r>
        <w:rPr/>
        <w:instrText xml:space="preserve"> TC "Section 13.15</w:instrText>
        <w:tab/>
        <w:instrText xml:space="preserve">Guarantee</w:instrText>
        <w:tab/>
        <w:instrText xml:space="preserve">“ \f C \l “2" \l 1 </w:instrText>
      </w:r>
      <w:r>
        <w:rPr/>
        <w:fldChar w:fldCharType="separate"/>
      </w:r>
      <w:r>
        <w:rPr/>
      </w:r>
      <w:r>
        <w:rPr/>
        <w:fldChar w:fldCharType="end"/>
      </w:r>
      <w:bookmarkStart w:id="111" w:name="__RefHeading___Toc535051631"/>
      <w:bookmarkEnd w:id="111"/>
      <w:r>
        <w:rPr/>
        <w:t xml:space="preserve">.  Parent hereby guarantees the performance of Buyer’s obligations under this Agreement. </w:t>
      </w:r>
    </w:p>
    <w:p>
      <w:pPr>
        <w:pStyle w:val="BodyText"/>
        <w:keepNext w:val="true"/>
        <w:rPr/>
      </w:pPr>
      <w:r>
        <w:rPr/>
        <w:t>IN WITNESS WHEREOF, this Agreement has been signed by or on behalf of each of the parties as of the day first above written.</w:t>
      </w:r>
    </w:p>
    <w:p>
      <w:pPr>
        <w:pStyle w:val="BodyText"/>
        <w:keepNext w:val="true"/>
        <w:ind w:hanging="0" w:start="5040" w:end="0"/>
        <w:rPr/>
      </w:pPr>
      <w:r>
        <w:rPr/>
      </w:r>
    </w:p>
    <w:p>
      <w:pPr>
        <w:pStyle w:val="BodyText"/>
        <w:keepNext w:val="true"/>
        <w:ind w:hanging="0" w:start="5040" w:end="0"/>
        <w:rPr/>
      </w:pPr>
      <w:r>
        <w:rPr/>
        <w:t>ENRON CORP., as debtor in possession</w:t>
      </w:r>
    </w:p>
    <w:p>
      <w:pPr>
        <w:pStyle w:val="BodyText"/>
        <w:keepNext w:val="true"/>
        <w:spacing w:before="0" w:after="0"/>
        <w:ind w:hanging="0" w:start="5040" w:end="0"/>
        <w:rPr/>
      </w:pPr>
      <w:r>
        <w:rPr/>
        <w:t>By: ___________________</w:t>
      </w:r>
    </w:p>
    <w:p>
      <w:pPr>
        <w:pStyle w:val="BodyText"/>
        <w:keepNext w:val="true"/>
        <w:spacing w:before="0" w:after="0"/>
        <w:ind w:hanging="0" w:start="5040" w:end="0"/>
        <w:rPr/>
      </w:pPr>
      <w:r>
        <w:rPr/>
        <w:t>Name:</w:t>
      </w:r>
    </w:p>
    <w:p>
      <w:pPr>
        <w:pStyle w:val="BodyText"/>
        <w:keepNext w:val="true"/>
        <w:spacing w:before="0" w:after="0"/>
        <w:ind w:hanging="0" w:start="5040" w:end="0"/>
        <w:rPr/>
      </w:pPr>
      <w:r>
        <w:rPr/>
        <w:t xml:space="preserve">Title: </w:t>
      </w:r>
    </w:p>
    <w:p>
      <w:pPr>
        <w:pStyle w:val="BodyText"/>
        <w:keepNext w:val="true"/>
        <w:spacing w:before="0" w:after="0"/>
        <w:ind w:hanging="0" w:start="5040" w:end="0"/>
        <w:rPr/>
      </w:pPr>
      <w:r>
        <w:rPr/>
      </w:r>
    </w:p>
    <w:p>
      <w:pPr>
        <w:pStyle w:val="BodyText"/>
        <w:keepNext w:val="true"/>
        <w:spacing w:before="0" w:after="0"/>
        <w:ind w:hanging="0" w:start="5040" w:end="0"/>
        <w:rPr/>
      </w:pPr>
      <w:r>
        <w:rPr/>
      </w:r>
    </w:p>
    <w:p>
      <w:pPr>
        <w:pStyle w:val="BodyText"/>
        <w:keepNext w:val="true"/>
        <w:spacing w:before="0" w:after="0"/>
        <w:ind w:hanging="0" w:start="5040" w:end="0"/>
        <w:rPr/>
      </w:pPr>
      <w:r>
        <w:rPr/>
        <w:t>ENRON NORTH AMERICA CORP., as debtor in possession</w:t>
      </w:r>
    </w:p>
    <w:p>
      <w:pPr>
        <w:pStyle w:val="BodyText"/>
        <w:keepNext w:val="true"/>
        <w:spacing w:before="0" w:after="0"/>
        <w:ind w:hanging="0" w:start="5040" w:end="0"/>
        <w:rPr/>
      </w:pPr>
      <w:r>
        <w:rPr/>
      </w:r>
    </w:p>
    <w:p>
      <w:pPr>
        <w:pStyle w:val="BodyText"/>
        <w:keepNext w:val="true"/>
        <w:spacing w:before="0" w:after="0"/>
        <w:ind w:hanging="0" w:start="5040" w:end="0"/>
        <w:rPr/>
      </w:pPr>
      <w:r>
        <w:rPr/>
        <w:t>By: ____________________</w:t>
      </w:r>
    </w:p>
    <w:p>
      <w:pPr>
        <w:pStyle w:val="BodyText"/>
        <w:keepNext w:val="true"/>
        <w:spacing w:before="0" w:after="0"/>
        <w:ind w:hanging="0" w:start="5040" w:end="0"/>
        <w:rPr/>
      </w:pPr>
      <w:r>
        <w:rPr/>
        <w:t xml:space="preserve">Name: </w:t>
      </w:r>
    </w:p>
    <w:p>
      <w:pPr>
        <w:pStyle w:val="BodyText"/>
        <w:keepNext w:val="true"/>
        <w:spacing w:before="0" w:after="0"/>
        <w:ind w:hanging="0" w:start="5040" w:end="0"/>
        <w:rPr/>
      </w:pPr>
      <w:r>
        <w:rPr/>
        <w:t>Title:</w:t>
      </w:r>
    </w:p>
    <w:p>
      <w:pPr>
        <w:pStyle w:val="BodyText"/>
        <w:keepNext w:val="true"/>
        <w:spacing w:before="0" w:after="0"/>
        <w:ind w:hanging="0" w:start="5040" w:end="0"/>
        <w:rPr/>
      </w:pPr>
      <w:r>
        <w:rPr/>
      </w:r>
    </w:p>
    <w:p>
      <w:pPr>
        <w:pStyle w:val="BodyText"/>
        <w:keepNext w:val="true"/>
        <w:spacing w:before="0" w:after="0"/>
        <w:ind w:hanging="0" w:start="5040" w:end="0"/>
        <w:rPr/>
      </w:pPr>
      <w:r>
        <w:rPr/>
      </w:r>
    </w:p>
    <w:p>
      <w:pPr>
        <w:pStyle w:val="BodyText"/>
        <w:keepNext w:val="true"/>
        <w:spacing w:before="0" w:after="0"/>
        <w:ind w:hanging="0" w:start="5040" w:end="0"/>
        <w:rPr/>
      </w:pPr>
      <w:r>
        <w:rPr/>
        <w:t>ENRON NETWORKS L.L.C., as debtor in possession</w:t>
      </w:r>
    </w:p>
    <w:p>
      <w:pPr>
        <w:pStyle w:val="BodyText"/>
        <w:keepNext w:val="true"/>
        <w:spacing w:before="0" w:after="0"/>
        <w:ind w:hanging="0" w:start="5040" w:end="0"/>
        <w:rPr/>
      </w:pPr>
      <w:r>
        <w:rPr/>
      </w:r>
    </w:p>
    <w:p>
      <w:pPr>
        <w:pStyle w:val="BodyText"/>
        <w:keepNext w:val="true"/>
        <w:spacing w:before="0" w:after="0"/>
        <w:ind w:hanging="0" w:start="5040" w:end="0"/>
        <w:rPr/>
      </w:pPr>
      <w:r>
        <w:rPr/>
        <w:t>By: ____________________</w:t>
      </w:r>
    </w:p>
    <w:p>
      <w:pPr>
        <w:pStyle w:val="BodyText"/>
        <w:keepNext w:val="true"/>
        <w:spacing w:before="0" w:after="0"/>
        <w:ind w:hanging="0" w:start="5040" w:end="0"/>
        <w:rPr/>
      </w:pPr>
      <w:r>
        <w:rPr/>
        <w:t xml:space="preserve">Name: </w:t>
      </w:r>
    </w:p>
    <w:p>
      <w:pPr>
        <w:pStyle w:val="BodyText"/>
        <w:keepNext w:val="true"/>
        <w:spacing w:before="0" w:after="0"/>
        <w:ind w:hanging="0" w:start="5040" w:end="0"/>
        <w:rPr/>
      </w:pPr>
      <w:r>
        <w:rPr/>
        <w:t>Title:</w:t>
      </w:r>
    </w:p>
    <w:p>
      <w:pPr>
        <w:pStyle w:val="BodyText"/>
        <w:keepNext w:val="true"/>
        <w:spacing w:before="0" w:after="0"/>
        <w:ind w:hanging="0" w:start="5040" w:end="0"/>
        <w:rPr/>
      </w:pPr>
      <w:r>
        <w:rPr/>
      </w:r>
    </w:p>
    <w:p>
      <w:pPr>
        <w:pStyle w:val="BodyText"/>
        <w:keepNext w:val="true"/>
        <w:spacing w:before="0" w:after="0"/>
        <w:ind w:hanging="0" w:start="5040" w:end="0"/>
        <w:rPr/>
      </w:pPr>
      <w:r>
        <w:rPr/>
      </w:r>
    </w:p>
    <w:p>
      <w:pPr>
        <w:pStyle w:val="BodyText"/>
        <w:keepNext w:val="true"/>
        <w:spacing w:before="0" w:after="0"/>
        <w:ind w:hanging="0" w:start="5040" w:end="0"/>
        <w:rPr/>
      </w:pPr>
      <w:r>
        <w:rPr/>
        <w:t>ENRON CANADA CORP.</w:t>
      </w:r>
    </w:p>
    <w:p>
      <w:pPr>
        <w:pStyle w:val="BodyText"/>
        <w:keepNext w:val="true"/>
        <w:spacing w:before="0" w:after="0"/>
        <w:ind w:hanging="0" w:start="5040" w:end="0"/>
        <w:rPr/>
      </w:pPr>
      <w:r>
        <w:rPr/>
      </w:r>
    </w:p>
    <w:p>
      <w:pPr>
        <w:pStyle w:val="BodyText"/>
        <w:keepNext w:val="true"/>
        <w:spacing w:before="0" w:after="0"/>
        <w:ind w:hanging="0" w:start="5040" w:end="0"/>
        <w:rPr/>
      </w:pPr>
      <w:r>
        <w:rPr/>
        <w:t>By: ____________________</w:t>
      </w:r>
    </w:p>
    <w:p>
      <w:pPr>
        <w:pStyle w:val="BodyText"/>
        <w:keepNext w:val="true"/>
        <w:spacing w:before="0" w:after="0"/>
        <w:ind w:hanging="0" w:start="5040" w:end="0"/>
        <w:rPr/>
      </w:pPr>
      <w:r>
        <w:rPr/>
        <w:t xml:space="preserve">Name: </w:t>
      </w:r>
    </w:p>
    <w:p>
      <w:pPr>
        <w:pStyle w:val="BodyText"/>
        <w:keepNext w:val="true"/>
        <w:spacing w:before="0" w:after="0"/>
        <w:ind w:hanging="0" w:start="5040" w:end="0"/>
        <w:rPr/>
      </w:pPr>
      <w:r>
        <w:rPr/>
        <w:t xml:space="preserve">Title: </w:t>
      </w:r>
    </w:p>
    <w:p>
      <w:pPr>
        <w:pStyle w:val="BodyText"/>
        <w:keepNext w:val="true"/>
        <w:spacing w:before="0" w:after="0"/>
        <w:ind w:hanging="0" w:start="5040" w:end="0"/>
        <w:rPr/>
      </w:pPr>
      <w:r>
        <w:rPr/>
      </w:r>
    </w:p>
    <w:p>
      <w:pPr>
        <w:pStyle w:val="BodyText"/>
        <w:keepNext w:val="true"/>
        <w:spacing w:before="0" w:after="0"/>
        <w:ind w:hanging="0" w:start="5040" w:end="0"/>
        <w:rPr/>
      </w:pPr>
      <w:r>
        <w:rPr/>
      </w:r>
    </w:p>
    <w:p>
      <w:pPr>
        <w:pStyle w:val="BodyText"/>
        <w:keepNext w:val="true"/>
        <w:spacing w:before="0" w:after="0"/>
        <w:ind w:hanging="0" w:start="5040" w:end="0"/>
        <w:rPr/>
      </w:pPr>
      <w:r>
        <w:rPr/>
        <w:t>NETB LLC</w:t>
      </w:r>
    </w:p>
    <w:p>
      <w:pPr>
        <w:pStyle w:val="BodyText"/>
        <w:keepNext w:val="true"/>
        <w:spacing w:before="0" w:after="0"/>
        <w:ind w:hanging="0" w:start="5040" w:end="0"/>
        <w:rPr/>
      </w:pPr>
      <w:r>
        <w:rPr/>
      </w:r>
    </w:p>
    <w:p>
      <w:pPr>
        <w:pStyle w:val="BodyText"/>
        <w:keepNext w:val="true"/>
        <w:spacing w:before="0" w:after="0"/>
        <w:ind w:hanging="0" w:start="5040" w:end="0"/>
        <w:rPr/>
      </w:pPr>
      <w:r>
        <w:rPr/>
        <w:t>By: ____________________</w:t>
      </w:r>
    </w:p>
    <w:p>
      <w:pPr>
        <w:pStyle w:val="BodyText"/>
        <w:keepNext w:val="true"/>
        <w:spacing w:before="0" w:after="0"/>
        <w:ind w:hanging="0" w:start="5040" w:end="0"/>
        <w:rPr/>
      </w:pPr>
      <w:r>
        <w:rPr/>
        <w:t xml:space="preserve">Name: </w:t>
      </w:r>
    </w:p>
    <w:p>
      <w:pPr>
        <w:pStyle w:val="BodyText"/>
        <w:keepNext w:val="true"/>
        <w:spacing w:before="0" w:after="0"/>
        <w:ind w:hanging="0" w:start="5040" w:end="0"/>
        <w:rPr/>
      </w:pPr>
      <w:r>
        <w:rPr/>
        <w:t xml:space="preserve">Title: </w:t>
      </w:r>
    </w:p>
    <w:p>
      <w:pPr>
        <w:pStyle w:val="BodyText"/>
        <w:keepNext w:val="true"/>
        <w:spacing w:before="0" w:after="0"/>
        <w:ind w:hanging="0" w:start="5040" w:end="0"/>
        <w:rPr/>
      </w:pPr>
      <w:r>
        <w:rPr/>
      </w:r>
    </w:p>
    <w:p>
      <w:pPr>
        <w:pStyle w:val="BodyText"/>
        <w:keepNext w:val="true"/>
        <w:spacing w:before="0" w:after="0"/>
        <w:ind w:hanging="0" w:start="5040" w:end="0"/>
        <w:rPr/>
      </w:pPr>
      <w:r>
        <w:rPr/>
      </w:r>
    </w:p>
    <w:p>
      <w:pPr>
        <w:pStyle w:val="BodyText"/>
        <w:keepNext w:val="true"/>
        <w:spacing w:before="0" w:after="0"/>
        <w:ind w:hanging="0" w:start="5040" w:end="0"/>
        <w:rPr/>
      </w:pPr>
      <w:r>
        <w:rPr/>
        <w:t>NETB CANADA HOLDINGS LLC</w:t>
      </w:r>
    </w:p>
    <w:p>
      <w:pPr>
        <w:pStyle w:val="BodyText"/>
        <w:keepNext w:val="true"/>
        <w:spacing w:before="0" w:after="0"/>
        <w:ind w:hanging="0" w:start="5040" w:end="0"/>
        <w:rPr/>
      </w:pPr>
      <w:r>
        <w:rPr/>
      </w:r>
    </w:p>
    <w:p>
      <w:pPr>
        <w:pStyle w:val="BodyText"/>
        <w:keepNext w:val="true"/>
        <w:spacing w:before="0" w:after="0"/>
        <w:ind w:hanging="0" w:start="5040" w:end="0"/>
        <w:rPr/>
      </w:pPr>
      <w:r>
        <w:rPr/>
        <w:t>By: ____________________</w:t>
      </w:r>
    </w:p>
    <w:p>
      <w:pPr>
        <w:pStyle w:val="BodyText"/>
        <w:keepNext w:val="true"/>
        <w:spacing w:before="0" w:after="0"/>
        <w:ind w:hanging="0" w:start="5040" w:end="0"/>
        <w:rPr/>
      </w:pPr>
      <w:r>
        <w:rPr/>
        <w:t xml:space="preserve">Name: </w:t>
      </w:r>
    </w:p>
    <w:p>
      <w:pPr>
        <w:pStyle w:val="BodyText"/>
        <w:keepNext w:val="true"/>
        <w:spacing w:before="0" w:after="0"/>
        <w:ind w:hanging="0" w:start="5040" w:end="0"/>
        <w:rPr/>
      </w:pPr>
      <w:r>
        <w:rPr/>
        <w:t xml:space="preserve">Title: </w:t>
      </w:r>
    </w:p>
    <w:p>
      <w:pPr>
        <w:pStyle w:val="BodyText"/>
        <w:keepNext w:val="true"/>
        <w:spacing w:before="0" w:after="0"/>
        <w:ind w:hanging="0" w:start="5040" w:end="0"/>
        <w:rPr/>
      </w:pPr>
      <w:r>
        <w:rPr/>
      </w:r>
    </w:p>
    <w:p>
      <w:pPr>
        <w:pStyle w:val="BodyText"/>
        <w:keepNext w:val="true"/>
        <w:spacing w:before="0" w:after="0"/>
        <w:ind w:hanging="0" w:start="5040" w:end="0"/>
        <w:rPr/>
      </w:pPr>
      <w:r>
        <w:rPr/>
      </w:r>
    </w:p>
    <w:p>
      <w:pPr>
        <w:pStyle w:val="BodyText"/>
        <w:keepNext w:val="true"/>
        <w:spacing w:before="0" w:after="0"/>
        <w:ind w:hanging="0" w:start="5040" w:end="0"/>
        <w:rPr/>
      </w:pPr>
      <w:r>
        <w:rPr/>
        <w:t>SALOMON SMITH BARNEY</w:t>
        <w:br/>
        <w:t xml:space="preserve">  HOLDINGS INC.</w:t>
      </w:r>
    </w:p>
    <w:p>
      <w:pPr>
        <w:pStyle w:val="BodyText"/>
        <w:keepNext w:val="true"/>
        <w:spacing w:before="0" w:after="0"/>
        <w:ind w:hanging="0" w:start="5040" w:end="0"/>
        <w:rPr/>
      </w:pPr>
      <w:r>
        <w:rPr/>
      </w:r>
    </w:p>
    <w:p>
      <w:pPr>
        <w:pStyle w:val="BodyText"/>
        <w:keepNext w:val="true"/>
        <w:spacing w:before="0" w:after="0"/>
        <w:ind w:hanging="0" w:start="5040" w:end="0"/>
        <w:rPr/>
      </w:pPr>
      <w:r>
        <w:rPr/>
        <w:t>By: ____________________</w:t>
      </w:r>
    </w:p>
    <w:p>
      <w:pPr>
        <w:pStyle w:val="BodyText"/>
        <w:keepNext w:val="true"/>
        <w:spacing w:before="0" w:after="0"/>
        <w:ind w:hanging="0" w:start="5040" w:end="0"/>
        <w:rPr/>
      </w:pPr>
      <w:r>
        <w:rPr/>
        <w:t xml:space="preserve">Name: </w:t>
      </w:r>
    </w:p>
    <w:p>
      <w:pPr>
        <w:pStyle w:val="BodyText"/>
        <w:spacing w:before="0" w:after="0"/>
        <w:ind w:hanging="0" w:start="5040" w:end="0"/>
        <w:rPr/>
      </w:pPr>
      <w:r>
        <w:rPr/>
        <w:t>Title:</w:t>
      </w:r>
    </w:p>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WLRK Footnote">
    <w:charset w:val="00" w:characterSet="windows-1252"/>
    <w:family w:val="roman"/>
    <w:pitch w:val="variable"/>
  </w:font>
  <w:font w:name="GoudyOlSt BT">
    <w:charset w:val="00" w:characterSet="windows-1252"/>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114300" distR="114300" simplePos="0" locked="0" layoutInCell="0" allowOverlap="1" relativeHeight="2">
              <wp:simplePos x="0" y="0"/>
              <wp:positionH relativeFrom="page">
                <wp:align>center</wp:align>
              </wp:positionH>
              <wp:positionV relativeFrom="page">
                <wp:align>bottom</wp:align>
              </wp:positionV>
              <wp:extent cx="6858000" cy="116840"/>
              <wp:effectExtent l="0" t="0" r="0" b="0"/>
              <wp:wrapTopAndBottom/>
              <wp:docPr id="2" name="Frame1"/>
              <a:graphic xmlns:a="http://schemas.openxmlformats.org/drawingml/2006/main">
                <a:graphicData uri="http://schemas.microsoft.com/office/word/2010/wordprocessingShape">
                  <wps:wsp>
                    <wps:cNvSpPr txBox="1"/>
                    <wps:spPr>
                      <a:xfrm>
                        <a:off x="0" y="0"/>
                        <a:ext cx="6858000" cy="116840"/>
                      </a:xfrm>
                      <a:prstGeom prst="rect"/>
                      <a:solidFill>
                        <a:srgbClr val="FFFFFF">
                          <a:alpha val="0"/>
                        </a:srgbClr>
                      </a:solidFill>
                    </wps:spPr>
                    <wps:txbx>
                      <w:txbxContent>
                        <w:p>
                          <w:pPr>
                            <w:pStyle w:val="Normal"/>
                            <w:tabs>
                              <w:tab w:val="clear" w:pos="720"/>
                              <w:tab w:val="right" w:pos="10800" w:leader="none"/>
                            </w:tabs>
                            <w:spacing w:before="0" w:after="360"/>
                            <w:rPr>
                              <w:rFonts w:ascii="Arial" w:hAnsi="Arial" w:cs="Arial"/>
                              <w:sz w:val="16"/>
                            </w:rPr>
                          </w:pPr>
                          <w:bookmarkStart w:id="4" w:name="_DocIDStamp"/>
                          <w:bookmarkEnd w:id="4"/>
                          <w:r>
                            <w:rPr>
                              <w:rFonts w:cs="Arial" w:ascii="Arial" w:hAnsi="Arial"/>
                              <w:sz w:val="16"/>
                            </w:rPr>
                            <w:tab/>
                          </w:r>
                          <w:r>
                            <w:rPr>
                              <w:rFonts w:cs="Arial" w:ascii="Arial" w:hAnsi="Arial"/>
                              <w:sz w:val="16"/>
                            </w:rPr>
                            <w:fldChar w:fldCharType="begin"/>
                          </w:r>
                          <w:r>
                            <w:rPr>
                              <w:sz w:val="16"/>
                              <w:rFonts w:cs="Arial" w:ascii="Arial" w:hAnsi="Arial"/>
                            </w:rPr>
                            <w:instrText xml:space="preserve"> DOCPROPERTY "DocumentID"</w:instrText>
                          </w:r>
                          <w:r>
                            <w:rPr>
                              <w:sz w:val="16"/>
                              <w:rFonts w:cs="Arial" w:ascii="Arial" w:hAnsi="Arial"/>
                            </w:rPr>
                            <w:fldChar w:fldCharType="separate"/>
                          </w:r>
                          <w:r>
                            <w:rPr>
                              <w:sz w:val="16"/>
                              <w:rFonts w:cs="Arial" w:ascii="Arial" w:hAnsi="Arial"/>
                            </w:rPr>
                            <w:t>W/617292v6</w:t>
                          </w:r>
                          <w:r>
                            <w:rPr>
                              <w:sz w:val="16"/>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540pt;height:9.2pt;mso-wrap-distance-left:9pt;mso-wrap-distance-right:9pt;mso-wrap-distance-top:0pt;mso-wrap-distance-bottom:0pt;margin-top:782.8pt;mso-position-vertical:bottom;mso-position-vertical-relative:page;margin-left:36pt;mso-position-horizontal:center;mso-position-horizontal-relative:page">
              <v:fill opacity="0f"/>
              <v:textbox inset="0in,0in,0in,0in">
                <w:txbxContent>
                  <w:p>
                    <w:pPr>
                      <w:pStyle w:val="Normal"/>
                      <w:tabs>
                        <w:tab w:val="clear" w:pos="720"/>
                        <w:tab w:val="right" w:pos="10800" w:leader="none"/>
                      </w:tabs>
                      <w:spacing w:before="0" w:after="360"/>
                      <w:rPr>
                        <w:rFonts w:ascii="Arial" w:hAnsi="Arial" w:cs="Arial"/>
                        <w:sz w:val="16"/>
                      </w:rPr>
                    </w:pPr>
                    <w:bookmarkStart w:id="5" w:name="_DocIDStamp"/>
                    <w:bookmarkEnd w:id="5"/>
                    <w:r>
                      <w:rPr>
                        <w:rFonts w:cs="Arial" w:ascii="Arial" w:hAnsi="Arial"/>
                        <w:sz w:val="16"/>
                      </w:rPr>
                      <w:tab/>
                    </w:r>
                    <w:r>
                      <w:rPr>
                        <w:rFonts w:cs="Arial" w:ascii="Arial" w:hAnsi="Arial"/>
                        <w:sz w:val="16"/>
                      </w:rPr>
                      <w:fldChar w:fldCharType="begin"/>
                    </w:r>
                    <w:r>
                      <w:rPr>
                        <w:sz w:val="16"/>
                        <w:rFonts w:cs="Arial" w:ascii="Arial" w:hAnsi="Arial"/>
                      </w:rPr>
                      <w:instrText xml:space="preserve"> DOCPROPERTY "DocumentID"</w:instrText>
                    </w:r>
                    <w:r>
                      <w:rPr>
                        <w:sz w:val="16"/>
                        <w:rFonts w:cs="Arial" w:ascii="Arial" w:hAnsi="Arial"/>
                      </w:rPr>
                      <w:fldChar w:fldCharType="separate"/>
                    </w:r>
                    <w:r>
                      <w:rPr>
                        <w:sz w:val="16"/>
                        <w:rFonts w:cs="Arial" w:ascii="Arial" w:hAnsi="Arial"/>
                      </w:rPr>
                      <w:t>W/617292v6</w:t>
                    </w:r>
                    <w:r>
                      <w:rPr>
                        <w:sz w:val="16"/>
                        <w:rFonts w:cs="Arial" w:ascii="Arial" w:hAnsi="Arial"/>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r>
      <w:rPr>
        <w:rStyle w:val="PageNumbe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vi</w:t>
    </w:r>
    <w:r>
      <w:rPr>
        <w:rStyle w:val="PageNumber"/>
      </w:rPr>
      <w:fldChar w:fldCharType="end"/>
    </w:r>
    <w:r>
      <w:rPr>
        <w:rStyle w:val="PageNumber"/>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v</w:t>
    </w:r>
    <w:r>
      <w:rPr>
        <w:rStyle w:val="PageNumber"/>
      </w:rPr>
      <w:fldChar w:fldCharType="end"/>
    </w:r>
    <w:r>
      <w:rPr>
        <w:rStyle w:val="PageNumber"/>
      </w:rPr>
      <w:t>-</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58</w:t>
    </w:r>
    <w:r>
      <w:rPr>
        <w:rStyle w:val="PageNumber"/>
      </w:rPr>
      <w:fldChar w:fldCharType="end"/>
    </w:r>
    <w:r>
      <w:rPr>
        <w:rStyle w:val="PageNumber"/>
      </w:rPr>
      <w:t>-</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4300" distR="114300" simplePos="0" locked="0" layoutInCell="0" allowOverlap="1" relativeHeight="3">
              <wp:simplePos x="0" y="0"/>
              <wp:positionH relativeFrom="rightMargin">
                <wp:posOffset>114300</wp:posOffset>
              </wp:positionH>
              <wp:positionV relativeFrom="page">
                <wp:posOffset>366395</wp:posOffset>
              </wp:positionV>
              <wp:extent cx="2870200" cy="350520"/>
              <wp:effectExtent l="0" t="0" r="0" b="0"/>
              <wp:wrapTopAndBottom/>
              <wp:docPr id="1" name="Frame2"/>
              <a:graphic xmlns:a="http://schemas.openxmlformats.org/drawingml/2006/main">
                <a:graphicData uri="http://schemas.microsoft.com/office/word/2010/wordprocessingShape">
                  <wps:wsp>
                    <wps:cNvSpPr txBox="1"/>
                    <wps:spPr>
                      <a:xfrm>
                        <a:off x="0" y="0"/>
                        <a:ext cx="2870200" cy="350520"/>
                      </a:xfrm>
                      <a:prstGeom prst="rect"/>
                      <a:solidFill>
                        <a:srgbClr val="FFFFFF">
                          <a:alpha val="0"/>
                        </a:srgbClr>
                      </a:solidFill>
                    </wps:spPr>
                    <wps:txbx>
                      <w:txbxContent>
                        <w:p>
                          <w:pPr>
                            <w:pStyle w:val="Normal"/>
                            <w:rPr>
                              <w:u w:val="single"/>
                            </w:rPr>
                          </w:pPr>
                          <w:bookmarkStart w:id="0" w:name="_DraftAndPrivilegeStamp"/>
                          <w:r>
                            <w:rPr>
                              <w:u w:val="single"/>
                            </w:rPr>
                            <w:t>STRICTLY CONFIDENTIAL</w:t>
                          </w:r>
                        </w:p>
                        <w:p>
                          <w:pPr>
                            <w:pStyle w:val="Normal"/>
                            <w:rPr/>
                          </w:pPr>
                          <w:bookmarkStart w:id="1" w:name="_DraftAndPrivilegeStamp"/>
                          <w:r>
                            <w:rPr/>
                            <w:tab/>
                            <w:tab/>
                            <w:tab/>
                            <w:t>01/07/0</w:t>
                          </w:r>
                          <w:bookmarkEnd w:id="1"/>
                          <w:r>
                            <w:rPr/>
                            <w:t>2</w:t>
                          </w:r>
                        </w:p>
                      </w:txbxContent>
                    </wps:txbx>
                    <wps:bodyPr anchor="t" lIns="0" tIns="0" rIns="0" bIns="0">
                      <a:noAutofit/>
                    </wps:bodyPr>
                  </wps:wsp>
                </a:graphicData>
              </a:graphic>
            </wp:anchor>
          </w:drawing>
        </mc:Choice>
        <mc:Fallback>
          <w:pict>
            <v:rect fillcolor="#FFFFFF" style="position:absolute;rotation:-0;width:226pt;height:27.6pt;mso-wrap-distance-left:9pt;mso-wrap-distance-right:9pt;mso-wrap-distance-top:0pt;mso-wrap-distance-bottom:0pt;margin-top:28.85pt;mso-position-vertical-relative:page;margin-left:9pt;mso-position-horizontal-relative:text">
              <v:fill opacity="0f"/>
              <v:textbox inset="0in,0in,0in,0in">
                <w:txbxContent>
                  <w:p>
                    <w:pPr>
                      <w:pStyle w:val="Normal"/>
                      <w:rPr>
                        <w:u w:val="single"/>
                      </w:rPr>
                    </w:pPr>
                    <w:bookmarkStart w:id="2" w:name="_DraftAndPrivilegeStamp"/>
                    <w:r>
                      <w:rPr>
                        <w:u w:val="single"/>
                      </w:rPr>
                      <w:t>STRICTLY CONFIDENTIAL</w:t>
                    </w:r>
                  </w:p>
                  <w:p>
                    <w:pPr>
                      <w:pStyle w:val="Normal"/>
                      <w:rPr/>
                    </w:pPr>
                    <w:bookmarkStart w:id="3" w:name="_DraftAndPrivilegeStamp"/>
                    <w:r>
                      <w:rPr/>
                      <w:tab/>
                      <w:tab/>
                      <w:tab/>
                      <w:t>01/07/0</w:t>
                    </w:r>
                    <w:bookmarkEnd w:id="3"/>
                    <w:r>
                      <w:rPr/>
                      <w:t>2</w:t>
                    </w:r>
                  </w:p>
                </w:txbxContent>
              </v:textbox>
              <w10:wrap type="topAndBottom"/>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9000" w:leader="none"/>
      </w:tabs>
      <w:rPr/>
    </w:pPr>
    <w:r>
      <w:rPr/>
      <w:tab/>
      <w:t>Page</w:t>
    </w:r>
  </w:p>
  <w:p>
    <w:pPr>
      <w:pStyle w:val="Normal"/>
      <w:tabs>
        <w:tab w:val="clear" w:pos="720"/>
        <w:tab w:val="center" w:pos="9000" w:leader="none"/>
      </w:tabs>
      <w:spacing w:before="0" w:after="240"/>
      <w:rPr/>
    </w:pPr>
    <w:r>
      <w:rPr/>
      <w:tab/>
    </w:r>
    <w:r>
      <w:rPr>
        <w:u w:val="single"/>
      </w:rPr>
      <w:t>Number</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9000" w:leader="none"/>
      </w:tabs>
      <w:spacing w:before="0" w:after="24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enteredHeading"/>
      <w:spacing w:before="0" w:after="240"/>
      <w:rPr>
        <w:b/>
        <w:u w:val="single"/>
      </w:rPr>
    </w:pPr>
    <w:r>
      <w:rPr>
        <w:b/>
        <w:u w:val="single"/>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suff w:val="nothing"/>
      <w:lvlText w:val="ARTICLE %1"/>
      <w:lvlJc w:val="start"/>
      <w:pPr>
        <w:tabs>
          <w:tab w:val="num" w:pos="0"/>
        </w:tabs>
        <w:ind w:start="0" w:hanging="0"/>
      </w:pPr>
      <w:rPr>
        <w:sz w:val="24"/>
        <w:i w:val="false"/>
        <w:u w:val="single"/>
        <w:b w:val="false"/>
        <w:rFonts w:ascii="Times New Roman" w:hAnsi="Times New Roman" w:cs="Times New Roman"/>
      </w:rPr>
    </w:lvl>
    <w:lvl w:ilvl="1">
      <w:start w:val="1"/>
      <w:isLgl/>
      <w:numFmt w:val="decimal"/>
      <w:lvlText w:val="Section %1.%2."/>
      <w:lvlJc w:val="start"/>
      <w:pPr>
        <w:tabs>
          <w:tab w:val="num" w:pos="2880"/>
        </w:tabs>
        <w:ind w:start="0" w:firstLine="1440"/>
      </w:pPr>
      <w:rPr>
        <w:sz w:val="24"/>
        <w:i w:val="false"/>
        <w:u w:val="none"/>
        <w:b w:val="false"/>
        <w:rFonts w:ascii="Times New Roman" w:hAnsi="Times New Roman" w:cs="Times New Roman"/>
      </w:rPr>
    </w:lvl>
    <w:lvl w:ilvl="2">
      <w:start w:val="1"/>
      <w:numFmt w:val="lowerLetter"/>
      <w:lvlText w:val="(%3)   "/>
      <w:lvlJc w:val="start"/>
      <w:pPr>
        <w:tabs>
          <w:tab w:val="num" w:pos="2160"/>
        </w:tabs>
        <w:ind w:start="0" w:firstLine="1440"/>
      </w:pPr>
      <w:rPr>
        <w:sz w:val="24"/>
        <w:i w:val="false"/>
        <w:b w:val="false"/>
        <w:rFonts w:ascii="Times New Roman" w:hAnsi="Times New Roman" w:cs="Times New Roman"/>
      </w:rPr>
    </w:lvl>
    <w:lvl w:ilvl="3">
      <w:start w:val="1"/>
      <w:numFmt w:val="lowerRoman"/>
      <w:lvlText w:val="(%4)"/>
      <w:lvlJc w:val="end"/>
      <w:pPr>
        <w:tabs>
          <w:tab w:val="num" w:pos="2736"/>
        </w:tabs>
        <w:ind w:start="720" w:firstLine="1656"/>
      </w:pPr>
      <w:rPr>
        <w:sz w:val="24"/>
        <w:i w:val="false"/>
        <w:b w:val="false"/>
        <w:rFonts w:ascii="Times New Roman" w:hAnsi="Times New Roman" w:cs="Times New Roman"/>
      </w:rPr>
    </w:lvl>
    <w:lvl w:ilvl="4">
      <w:start w:val="1"/>
      <w:numFmt w:val="decimal"/>
      <w:lvlText w:val="(%5)"/>
      <w:lvlJc w:val="start"/>
      <w:pPr>
        <w:tabs>
          <w:tab w:val="num" w:pos="0"/>
        </w:tabs>
        <w:ind w:start="2160" w:hanging="720"/>
      </w:pPr>
    </w:lvl>
    <w:lvl w:ilvl="5">
      <w:start w:val="1"/>
      <w:numFmt w:val="lowerLetter"/>
      <w:lvlText w:val="(%6)"/>
      <w:lvlJc w:val="start"/>
      <w:pPr>
        <w:tabs>
          <w:tab w:val="num" w:pos="0"/>
        </w:tabs>
        <w:ind w:start="2880" w:hanging="720"/>
      </w:pPr>
    </w:lvl>
    <w:lvl w:ilvl="6">
      <w:start w:val="1"/>
      <w:numFmt w:val="lowerRoman"/>
      <w:lvlText w:val="(%7)"/>
      <w:lvlJc w:val="start"/>
      <w:pPr>
        <w:tabs>
          <w:tab w:val="num" w:pos="0"/>
        </w:tabs>
        <w:ind w:start="3600" w:hanging="720"/>
      </w:pPr>
    </w:lvl>
    <w:lvl w:ilvl="7">
      <w:start w:val="1"/>
      <w:numFmt w:val="lowerLetter"/>
      <w:lvlText w:val="(%8)"/>
      <w:lvlJc w:val="start"/>
      <w:pPr>
        <w:tabs>
          <w:tab w:val="num" w:pos="0"/>
        </w:tabs>
        <w:ind w:start="4320" w:hanging="720"/>
      </w:pPr>
    </w:lvl>
    <w:lvl w:ilvl="8">
      <w:start w:val="1"/>
      <w:numFmt w:val="lowerRoman"/>
      <w:lvlText w:val="(%9)"/>
      <w:lvlJc w:val="start"/>
      <w:pPr>
        <w:tabs>
          <w:tab w:val="num" w:pos="0"/>
        </w:tabs>
        <w:ind w:start="5040" w:hanging="720"/>
      </w:pPr>
    </w:lvl>
  </w:abstractNum>
  <w:abstractNum w:abstractNumId="13">
    <w:lvl w:ilvl="0">
      <w:start w:val="5"/>
      <w:numFmt w:val="decimal"/>
      <w:suff w:val="nothing"/>
      <w:lvlText w:val="ARTICLE %1"/>
      <w:lvlJc w:val="start"/>
      <w:pPr>
        <w:tabs>
          <w:tab w:val="num" w:pos="0"/>
        </w:tabs>
        <w:ind w:start="0" w:hanging="0"/>
      </w:pPr>
      <w:rPr>
        <w:sz w:val="24"/>
        <w:i w:val="false"/>
        <w:u w:val="single"/>
        <w:b w:val="false"/>
        <w:rFonts w:ascii="Times New Roman" w:hAnsi="Times New Roman" w:cs="Times New Roman"/>
      </w:rPr>
    </w:lvl>
    <w:lvl w:ilvl="1">
      <w:start w:val="11"/>
      <w:isLgl/>
      <w:numFmt w:val="decimal"/>
      <w:lvlText w:val="Section %1.%2."/>
      <w:lvlJc w:val="start"/>
      <w:pPr>
        <w:tabs>
          <w:tab w:val="num" w:pos="2880"/>
        </w:tabs>
        <w:ind w:start="0" w:firstLine="1440"/>
      </w:pPr>
      <w:rPr>
        <w:sz w:val="24"/>
        <w:i w:val="false"/>
        <w:u w:val="none"/>
        <w:b w:val="false"/>
        <w:rFonts w:ascii="Times New Roman" w:hAnsi="Times New Roman" w:cs="Times New Roman"/>
      </w:rPr>
    </w:lvl>
    <w:lvl w:ilvl="2">
      <w:start w:val="2"/>
      <w:numFmt w:val="lowerLetter"/>
      <w:lvlText w:val="(%3)   "/>
      <w:lvlJc w:val="start"/>
      <w:pPr>
        <w:tabs>
          <w:tab w:val="num" w:pos="2160"/>
        </w:tabs>
        <w:ind w:start="0" w:firstLine="1440"/>
      </w:pPr>
      <w:rPr>
        <w:sz w:val="24"/>
        <w:i w:val="false"/>
        <w:b w:val="false"/>
        <w:rFonts w:ascii="Times New Roman" w:hAnsi="Times New Roman" w:cs="Times New Roman"/>
      </w:rPr>
    </w:lvl>
    <w:lvl w:ilvl="3">
      <w:start w:val="1"/>
      <w:numFmt w:val="lowerRoman"/>
      <w:lvlText w:val="(%4)"/>
      <w:lvlJc w:val="end"/>
      <w:pPr>
        <w:tabs>
          <w:tab w:val="num" w:pos="2736"/>
        </w:tabs>
        <w:ind w:start="720" w:firstLine="1656"/>
      </w:pPr>
      <w:rPr>
        <w:sz w:val="24"/>
        <w:i w:val="false"/>
        <w:b w:val="false"/>
        <w:rFonts w:ascii="Times New Roman" w:hAnsi="Times New Roman" w:cs="Times New Roman"/>
      </w:rPr>
    </w:lvl>
    <w:lvl w:ilvl="4">
      <w:start w:val="1"/>
      <w:numFmt w:val="decimal"/>
      <w:lvlText w:val="(%5)"/>
      <w:lvlJc w:val="start"/>
      <w:pPr>
        <w:tabs>
          <w:tab w:val="num" w:pos="0"/>
        </w:tabs>
        <w:ind w:start="2160" w:hanging="720"/>
      </w:pPr>
    </w:lvl>
    <w:lvl w:ilvl="5">
      <w:start w:val="1"/>
      <w:numFmt w:val="lowerLetter"/>
      <w:lvlText w:val="(%6)"/>
      <w:lvlJc w:val="start"/>
      <w:pPr>
        <w:tabs>
          <w:tab w:val="num" w:pos="0"/>
        </w:tabs>
        <w:ind w:start="2880" w:hanging="720"/>
      </w:pPr>
    </w:lvl>
    <w:lvl w:ilvl="6">
      <w:start w:val="1"/>
      <w:numFmt w:val="lowerRoman"/>
      <w:lvlText w:val="(%7)"/>
      <w:lvlJc w:val="start"/>
      <w:pPr>
        <w:tabs>
          <w:tab w:val="num" w:pos="0"/>
        </w:tabs>
        <w:ind w:start="3600" w:hanging="720"/>
      </w:pPr>
    </w:lvl>
    <w:lvl w:ilvl="7">
      <w:start w:val="1"/>
      <w:numFmt w:val="lowerLetter"/>
      <w:lvlText w:val="(%8)"/>
      <w:lvlJc w:val="start"/>
      <w:pPr>
        <w:tabs>
          <w:tab w:val="num" w:pos="0"/>
        </w:tabs>
        <w:ind w:start="4320" w:hanging="720"/>
      </w:pPr>
    </w:lvl>
    <w:lvl w:ilvl="8">
      <w:start w:val="1"/>
      <w:numFmt w:val="lowerRoman"/>
      <w:lvlText w:val="(%9)"/>
      <w:lvlJc w:val="start"/>
      <w:pPr>
        <w:tabs>
          <w:tab w:val="num" w:pos="0"/>
        </w:tabs>
        <w:ind w:start="5040" w:hanging="720"/>
      </w:pPr>
    </w:lvl>
  </w:abstractNum>
  <w:abstractNum w:abstractNumId="14">
    <w:lvl w:ilvl="0">
      <w:start w:val="6"/>
      <w:numFmt w:val="decimal"/>
      <w:suff w:val="nothing"/>
      <w:lvlText w:val="ARTICLE %1"/>
      <w:lvlJc w:val="start"/>
      <w:pPr>
        <w:tabs>
          <w:tab w:val="num" w:pos="0"/>
        </w:tabs>
        <w:ind w:start="0" w:hanging="0"/>
      </w:pPr>
      <w:rPr>
        <w:sz w:val="24"/>
        <w:i w:val="false"/>
        <w:u w:val="single"/>
        <w:b w:val="false"/>
        <w:rFonts w:ascii="Times New Roman" w:hAnsi="Times New Roman" w:cs="Times New Roman"/>
      </w:rPr>
    </w:lvl>
    <w:lvl w:ilvl="1">
      <w:start w:val="1"/>
      <w:isLgl/>
      <w:numFmt w:val="decimal"/>
      <w:lvlText w:val="Section %1.%2."/>
      <w:lvlJc w:val="start"/>
      <w:pPr>
        <w:tabs>
          <w:tab w:val="num" w:pos="2880"/>
        </w:tabs>
        <w:ind w:start="0" w:firstLine="1440"/>
      </w:pPr>
      <w:rPr>
        <w:sz w:val="24"/>
        <w:i w:val="false"/>
        <w:u w:val="none"/>
        <w:b w:val="false"/>
        <w:rFonts w:ascii="Times New Roman" w:hAnsi="Times New Roman" w:cs="Times New Roman"/>
      </w:rPr>
    </w:lvl>
    <w:lvl w:ilvl="2">
      <w:start w:val="2"/>
      <w:numFmt w:val="lowerLetter"/>
      <w:lvlText w:val="(%3)   "/>
      <w:lvlJc w:val="start"/>
      <w:pPr>
        <w:tabs>
          <w:tab w:val="num" w:pos="2160"/>
        </w:tabs>
        <w:ind w:start="0" w:firstLine="1440"/>
      </w:pPr>
      <w:rPr>
        <w:sz w:val="24"/>
        <w:i w:val="false"/>
        <w:b w:val="false"/>
        <w:rFonts w:ascii="Times New Roman" w:hAnsi="Times New Roman" w:cs="Times New Roman"/>
      </w:rPr>
    </w:lvl>
    <w:lvl w:ilvl="3">
      <w:start w:val="1"/>
      <w:numFmt w:val="lowerRoman"/>
      <w:lvlText w:val="(%4)"/>
      <w:lvlJc w:val="end"/>
      <w:pPr>
        <w:tabs>
          <w:tab w:val="num" w:pos="2736"/>
        </w:tabs>
        <w:ind w:start="720" w:firstLine="1656"/>
      </w:pPr>
      <w:rPr>
        <w:sz w:val="24"/>
        <w:i w:val="false"/>
        <w:b w:val="false"/>
        <w:rFonts w:ascii="Times New Roman" w:hAnsi="Times New Roman" w:cs="Times New Roman"/>
      </w:rPr>
    </w:lvl>
    <w:lvl w:ilvl="4">
      <w:start w:val="1"/>
      <w:numFmt w:val="decimal"/>
      <w:lvlText w:val="(%5)"/>
      <w:lvlJc w:val="start"/>
      <w:pPr>
        <w:tabs>
          <w:tab w:val="num" w:pos="0"/>
        </w:tabs>
        <w:ind w:start="2160" w:hanging="720"/>
      </w:pPr>
    </w:lvl>
    <w:lvl w:ilvl="5">
      <w:start w:val="1"/>
      <w:numFmt w:val="lowerLetter"/>
      <w:lvlText w:val="(%6)"/>
      <w:lvlJc w:val="start"/>
      <w:pPr>
        <w:tabs>
          <w:tab w:val="num" w:pos="0"/>
        </w:tabs>
        <w:ind w:start="2880" w:hanging="720"/>
      </w:pPr>
    </w:lvl>
    <w:lvl w:ilvl="6">
      <w:start w:val="1"/>
      <w:numFmt w:val="lowerRoman"/>
      <w:lvlText w:val="(%7)"/>
      <w:lvlJc w:val="start"/>
      <w:pPr>
        <w:tabs>
          <w:tab w:val="num" w:pos="0"/>
        </w:tabs>
        <w:ind w:start="3600" w:hanging="720"/>
      </w:pPr>
    </w:lvl>
    <w:lvl w:ilvl="7">
      <w:start w:val="1"/>
      <w:numFmt w:val="lowerLetter"/>
      <w:lvlText w:val="(%8)"/>
      <w:lvlJc w:val="start"/>
      <w:pPr>
        <w:tabs>
          <w:tab w:val="num" w:pos="0"/>
        </w:tabs>
        <w:ind w:start="4320" w:hanging="720"/>
      </w:pPr>
    </w:lvl>
    <w:lvl w:ilvl="8">
      <w:start w:val="1"/>
      <w:numFmt w:val="lowerRoman"/>
      <w:lvlText w:val="(%9)"/>
      <w:lvlJc w:val="start"/>
      <w:pPr>
        <w:tabs>
          <w:tab w:val="num" w:pos="0"/>
        </w:tabs>
        <w:ind w:start="5040" w:hanging="720"/>
      </w:pPr>
    </w:lvl>
  </w:abstractNum>
  <w:abstractNum w:abstractNumId="15">
    <w:lvl w:ilvl="0">
      <w:start w:val="7"/>
      <w:numFmt w:val="decimal"/>
      <w:suff w:val="nothing"/>
      <w:lvlText w:val="ARTICLE %1"/>
      <w:lvlJc w:val="start"/>
      <w:pPr>
        <w:tabs>
          <w:tab w:val="num" w:pos="0"/>
        </w:tabs>
        <w:ind w:start="0" w:hanging="0"/>
      </w:pPr>
      <w:rPr>
        <w:sz w:val="24"/>
        <w:i w:val="false"/>
        <w:u w:val="single"/>
        <w:b w:val="false"/>
        <w:rFonts w:ascii="Times New Roman" w:hAnsi="Times New Roman" w:cs="Times New Roman"/>
      </w:rPr>
    </w:lvl>
    <w:lvl w:ilvl="1">
      <w:start w:val="2"/>
      <w:isLgl/>
      <w:numFmt w:val="decimal"/>
      <w:lvlText w:val="Section %1.%2."/>
      <w:lvlJc w:val="start"/>
      <w:pPr>
        <w:tabs>
          <w:tab w:val="num" w:pos="2880"/>
        </w:tabs>
        <w:ind w:start="0" w:firstLine="1440"/>
      </w:pPr>
      <w:rPr>
        <w:sz w:val="24"/>
        <w:i w:val="false"/>
        <w:u w:val="none"/>
        <w:b w:val="false"/>
        <w:rFonts w:ascii="Times New Roman" w:hAnsi="Times New Roman" w:cs="Times New Roman"/>
      </w:rPr>
    </w:lvl>
    <w:lvl w:ilvl="2">
      <w:start w:val="2"/>
      <w:numFmt w:val="lowerLetter"/>
      <w:lvlText w:val="(%3)   "/>
      <w:lvlJc w:val="start"/>
      <w:pPr>
        <w:tabs>
          <w:tab w:val="num" w:pos="2160"/>
        </w:tabs>
        <w:ind w:start="0" w:firstLine="1440"/>
      </w:pPr>
      <w:rPr>
        <w:sz w:val="24"/>
        <w:i w:val="false"/>
        <w:b w:val="false"/>
        <w:rFonts w:ascii="Times New Roman" w:hAnsi="Times New Roman" w:cs="Times New Roman"/>
      </w:rPr>
    </w:lvl>
    <w:lvl w:ilvl="3">
      <w:start w:val="1"/>
      <w:numFmt w:val="lowerRoman"/>
      <w:lvlText w:val="(%4)"/>
      <w:lvlJc w:val="end"/>
      <w:pPr>
        <w:tabs>
          <w:tab w:val="num" w:pos="2736"/>
        </w:tabs>
        <w:ind w:start="720" w:firstLine="1656"/>
      </w:pPr>
      <w:rPr>
        <w:sz w:val="24"/>
        <w:i w:val="false"/>
        <w:b w:val="false"/>
        <w:rFonts w:ascii="Times New Roman" w:hAnsi="Times New Roman" w:cs="Times New Roman"/>
      </w:rPr>
    </w:lvl>
    <w:lvl w:ilvl="4">
      <w:start w:val="1"/>
      <w:numFmt w:val="decimal"/>
      <w:lvlText w:val="(%5)"/>
      <w:lvlJc w:val="start"/>
      <w:pPr>
        <w:tabs>
          <w:tab w:val="num" w:pos="0"/>
        </w:tabs>
        <w:ind w:start="2160" w:hanging="720"/>
      </w:pPr>
    </w:lvl>
    <w:lvl w:ilvl="5">
      <w:start w:val="1"/>
      <w:numFmt w:val="lowerLetter"/>
      <w:lvlText w:val="(%6)"/>
      <w:lvlJc w:val="start"/>
      <w:pPr>
        <w:tabs>
          <w:tab w:val="num" w:pos="0"/>
        </w:tabs>
        <w:ind w:start="2880" w:hanging="720"/>
      </w:pPr>
    </w:lvl>
    <w:lvl w:ilvl="6">
      <w:start w:val="1"/>
      <w:numFmt w:val="lowerRoman"/>
      <w:lvlText w:val="(%7)"/>
      <w:lvlJc w:val="start"/>
      <w:pPr>
        <w:tabs>
          <w:tab w:val="num" w:pos="0"/>
        </w:tabs>
        <w:ind w:start="3600" w:hanging="720"/>
      </w:pPr>
    </w:lvl>
    <w:lvl w:ilvl="7">
      <w:start w:val="1"/>
      <w:numFmt w:val="lowerLetter"/>
      <w:lvlText w:val="(%8)"/>
      <w:lvlJc w:val="start"/>
      <w:pPr>
        <w:tabs>
          <w:tab w:val="num" w:pos="0"/>
        </w:tabs>
        <w:ind w:start="4320" w:hanging="720"/>
      </w:pPr>
    </w:lvl>
    <w:lvl w:ilvl="8">
      <w:start w:val="1"/>
      <w:numFmt w:val="lowerRoman"/>
      <w:lvlText w:val="(%9)"/>
      <w:lvlJc w:val="start"/>
      <w:pPr>
        <w:tabs>
          <w:tab w:val="num" w:pos="0"/>
        </w:tabs>
        <w:ind w:start="5040" w:hanging="720"/>
      </w:pPr>
    </w:lvl>
  </w:abstractNum>
  <w:abstractNum w:abstractNumId="16">
    <w:lvl w:ilvl="0">
      <w:start w:val="8"/>
      <w:numFmt w:val="decimal"/>
      <w:suff w:val="nothing"/>
      <w:lvlText w:val="ARTICLE %1"/>
      <w:lvlJc w:val="start"/>
      <w:pPr>
        <w:tabs>
          <w:tab w:val="num" w:pos="0"/>
        </w:tabs>
        <w:ind w:start="0" w:hanging="0"/>
      </w:pPr>
      <w:rPr>
        <w:sz w:val="24"/>
        <w:i w:val="false"/>
        <w:u w:val="single"/>
        <w:b w:val="false"/>
        <w:rFonts w:ascii="Times New Roman" w:hAnsi="Times New Roman" w:cs="Times New Roman"/>
      </w:rPr>
    </w:lvl>
    <w:lvl w:ilvl="1">
      <w:start w:val="4"/>
      <w:isLgl/>
      <w:numFmt w:val="decimal"/>
      <w:lvlText w:val="Section %1.%2."/>
      <w:lvlJc w:val="start"/>
      <w:pPr>
        <w:tabs>
          <w:tab w:val="num" w:pos="2880"/>
        </w:tabs>
        <w:ind w:start="0" w:firstLine="1440"/>
      </w:pPr>
      <w:rPr>
        <w:sz w:val="24"/>
        <w:i w:val="false"/>
        <w:u w:val="none"/>
        <w:b w:val="false"/>
        <w:rFonts w:ascii="Times New Roman" w:hAnsi="Times New Roman" w:cs="Times New Roman"/>
      </w:rPr>
    </w:lvl>
    <w:lvl w:ilvl="2">
      <w:start w:val="2"/>
      <w:numFmt w:val="lowerLetter"/>
      <w:lvlText w:val="(%3)   "/>
      <w:lvlJc w:val="start"/>
      <w:pPr>
        <w:tabs>
          <w:tab w:val="num" w:pos="2160"/>
        </w:tabs>
        <w:ind w:start="0" w:firstLine="1440"/>
      </w:pPr>
      <w:rPr>
        <w:sz w:val="24"/>
        <w:i w:val="false"/>
        <w:b w:val="false"/>
        <w:rFonts w:ascii="Times New Roman" w:hAnsi="Times New Roman" w:cs="Times New Roman"/>
      </w:rPr>
    </w:lvl>
    <w:lvl w:ilvl="3">
      <w:start w:val="1"/>
      <w:numFmt w:val="lowerRoman"/>
      <w:lvlText w:val="(%4)"/>
      <w:lvlJc w:val="end"/>
      <w:pPr>
        <w:tabs>
          <w:tab w:val="num" w:pos="2736"/>
        </w:tabs>
        <w:ind w:start="720" w:firstLine="1656"/>
      </w:pPr>
      <w:rPr>
        <w:sz w:val="24"/>
        <w:i w:val="false"/>
        <w:b w:val="false"/>
        <w:rFonts w:ascii="Times New Roman" w:hAnsi="Times New Roman" w:cs="Times New Roman"/>
      </w:rPr>
    </w:lvl>
    <w:lvl w:ilvl="4">
      <w:start w:val="1"/>
      <w:numFmt w:val="decimal"/>
      <w:lvlText w:val="(%5)"/>
      <w:lvlJc w:val="start"/>
      <w:pPr>
        <w:tabs>
          <w:tab w:val="num" w:pos="0"/>
        </w:tabs>
        <w:ind w:start="2160" w:hanging="720"/>
      </w:pPr>
    </w:lvl>
    <w:lvl w:ilvl="5">
      <w:start w:val="1"/>
      <w:numFmt w:val="lowerLetter"/>
      <w:lvlText w:val="(%6)"/>
      <w:lvlJc w:val="start"/>
      <w:pPr>
        <w:tabs>
          <w:tab w:val="num" w:pos="0"/>
        </w:tabs>
        <w:ind w:start="2880" w:hanging="720"/>
      </w:pPr>
    </w:lvl>
    <w:lvl w:ilvl="6">
      <w:start w:val="1"/>
      <w:numFmt w:val="lowerRoman"/>
      <w:lvlText w:val="(%7)"/>
      <w:lvlJc w:val="start"/>
      <w:pPr>
        <w:tabs>
          <w:tab w:val="num" w:pos="0"/>
        </w:tabs>
        <w:ind w:start="3600" w:hanging="720"/>
      </w:pPr>
    </w:lvl>
    <w:lvl w:ilvl="7">
      <w:start w:val="1"/>
      <w:numFmt w:val="lowerLetter"/>
      <w:lvlText w:val="(%8)"/>
      <w:lvlJc w:val="start"/>
      <w:pPr>
        <w:tabs>
          <w:tab w:val="num" w:pos="0"/>
        </w:tabs>
        <w:ind w:start="4320" w:hanging="720"/>
      </w:pPr>
    </w:lvl>
    <w:lvl w:ilvl="8">
      <w:start w:val="1"/>
      <w:numFmt w:val="lowerRoman"/>
      <w:lvlText w:val="(%9)"/>
      <w:lvlJc w:val="start"/>
      <w:pPr>
        <w:tabs>
          <w:tab w:val="num" w:pos="0"/>
        </w:tabs>
        <w:ind w:start="5040" w:hanging="720"/>
      </w:pPr>
    </w:lvl>
  </w:abstractNum>
  <w:abstractNum w:abstractNumId="17">
    <w:lvl w:ilvl="0">
      <w:start w:val="10"/>
      <w:numFmt w:val="decimal"/>
      <w:suff w:val="nothing"/>
      <w:lvlText w:val="ARTICLE %1"/>
      <w:lvlJc w:val="start"/>
      <w:pPr>
        <w:tabs>
          <w:tab w:val="num" w:pos="0"/>
        </w:tabs>
        <w:ind w:start="0" w:hanging="0"/>
      </w:pPr>
      <w:rPr>
        <w:sz w:val="24"/>
        <w:i w:val="false"/>
        <w:u w:val="single"/>
        <w:b w:val="false"/>
        <w:rFonts w:ascii="Times New Roman" w:hAnsi="Times New Roman" w:cs="Times New Roman"/>
      </w:rPr>
    </w:lvl>
    <w:lvl w:ilvl="1">
      <w:start w:val="5"/>
      <w:isLgl/>
      <w:numFmt w:val="decimal"/>
      <w:lvlText w:val="Section %1.%2."/>
      <w:lvlJc w:val="start"/>
      <w:pPr>
        <w:tabs>
          <w:tab w:val="num" w:pos="2880"/>
        </w:tabs>
        <w:ind w:start="0" w:firstLine="1440"/>
      </w:pPr>
      <w:rPr>
        <w:sz w:val="24"/>
        <w:i w:val="false"/>
        <w:u w:val="none"/>
        <w:b w:val="false"/>
        <w:rFonts w:ascii="Times New Roman" w:hAnsi="Times New Roman" w:cs="Times New Roman"/>
      </w:rPr>
    </w:lvl>
    <w:lvl w:ilvl="2">
      <w:start w:val="2"/>
      <w:numFmt w:val="lowerLetter"/>
      <w:lvlText w:val="(%3)   "/>
      <w:lvlJc w:val="start"/>
      <w:pPr>
        <w:tabs>
          <w:tab w:val="num" w:pos="2160"/>
        </w:tabs>
        <w:ind w:start="0" w:firstLine="1440"/>
      </w:pPr>
      <w:rPr>
        <w:sz w:val="24"/>
        <w:i w:val="false"/>
        <w:b w:val="false"/>
        <w:rFonts w:ascii="Times New Roman" w:hAnsi="Times New Roman" w:cs="Times New Roman"/>
      </w:rPr>
    </w:lvl>
    <w:lvl w:ilvl="3">
      <w:start w:val="1"/>
      <w:numFmt w:val="lowerRoman"/>
      <w:lvlText w:val="(%4)"/>
      <w:lvlJc w:val="end"/>
      <w:pPr>
        <w:tabs>
          <w:tab w:val="num" w:pos="2736"/>
        </w:tabs>
        <w:ind w:start="720" w:firstLine="1656"/>
      </w:pPr>
      <w:rPr>
        <w:sz w:val="24"/>
        <w:i w:val="false"/>
        <w:b w:val="false"/>
        <w:rFonts w:ascii="Times New Roman" w:hAnsi="Times New Roman" w:cs="Times New Roman"/>
      </w:rPr>
    </w:lvl>
    <w:lvl w:ilvl="4">
      <w:start w:val="1"/>
      <w:numFmt w:val="decimal"/>
      <w:lvlText w:val="(%5)"/>
      <w:lvlJc w:val="start"/>
      <w:pPr>
        <w:tabs>
          <w:tab w:val="num" w:pos="0"/>
        </w:tabs>
        <w:ind w:start="2160" w:hanging="720"/>
      </w:pPr>
    </w:lvl>
    <w:lvl w:ilvl="5">
      <w:start w:val="1"/>
      <w:numFmt w:val="lowerLetter"/>
      <w:lvlText w:val="(%6)"/>
      <w:lvlJc w:val="start"/>
      <w:pPr>
        <w:tabs>
          <w:tab w:val="num" w:pos="0"/>
        </w:tabs>
        <w:ind w:start="2880" w:hanging="720"/>
      </w:pPr>
    </w:lvl>
    <w:lvl w:ilvl="6">
      <w:start w:val="1"/>
      <w:numFmt w:val="lowerRoman"/>
      <w:lvlText w:val="(%7)"/>
      <w:lvlJc w:val="start"/>
      <w:pPr>
        <w:tabs>
          <w:tab w:val="num" w:pos="0"/>
        </w:tabs>
        <w:ind w:start="3600" w:hanging="720"/>
      </w:pPr>
    </w:lvl>
    <w:lvl w:ilvl="7">
      <w:start w:val="1"/>
      <w:numFmt w:val="lowerLetter"/>
      <w:lvlText w:val="(%8)"/>
      <w:lvlJc w:val="start"/>
      <w:pPr>
        <w:tabs>
          <w:tab w:val="num" w:pos="0"/>
        </w:tabs>
        <w:ind w:start="4320" w:hanging="720"/>
      </w:pPr>
    </w:lvl>
    <w:lvl w:ilvl="8">
      <w:start w:val="1"/>
      <w:numFmt w:val="lowerRoman"/>
      <w:lvlText w:val="(%9)"/>
      <w:lvlJc w:val="start"/>
      <w:pPr>
        <w:tabs>
          <w:tab w:val="num" w:pos="0"/>
        </w:tabs>
        <w:ind w:start="5040" w:hanging="720"/>
      </w:pPr>
    </w:lvl>
  </w:abstractNum>
  <w:abstractNum w:abstractNumId="18">
    <w:lvl w:ilvl="0">
      <w:start w:val="13"/>
      <w:numFmt w:val="decimal"/>
      <w:suff w:val="nothing"/>
      <w:lvlText w:val="ARTICLE %1"/>
      <w:lvlJc w:val="start"/>
      <w:pPr>
        <w:tabs>
          <w:tab w:val="num" w:pos="0"/>
        </w:tabs>
        <w:ind w:start="0" w:hanging="0"/>
      </w:pPr>
      <w:rPr>
        <w:sz w:val="24"/>
        <w:i w:val="false"/>
        <w:u w:val="single"/>
        <w:b w:val="false"/>
        <w:rFonts w:ascii="Times New Roman" w:hAnsi="Times New Roman" w:cs="Times New Roman"/>
      </w:rPr>
    </w:lvl>
    <w:lvl w:ilvl="1">
      <w:start w:val="7"/>
      <w:isLgl/>
      <w:numFmt w:val="decimal"/>
      <w:lvlText w:val="Section %1.%2."/>
      <w:lvlJc w:val="start"/>
      <w:pPr>
        <w:tabs>
          <w:tab w:val="num" w:pos="2880"/>
        </w:tabs>
        <w:ind w:start="0" w:firstLine="1440"/>
      </w:pPr>
      <w:rPr>
        <w:sz w:val="24"/>
        <w:i w:val="false"/>
        <w:u w:val="none"/>
        <w:b w:val="false"/>
        <w:rFonts w:ascii="Times New Roman" w:hAnsi="Times New Roman" w:cs="Times New Roman"/>
      </w:rPr>
    </w:lvl>
    <w:lvl w:ilvl="2">
      <w:start w:val="2"/>
      <w:numFmt w:val="lowerLetter"/>
      <w:lvlText w:val="(%3)   "/>
      <w:lvlJc w:val="start"/>
      <w:pPr>
        <w:tabs>
          <w:tab w:val="num" w:pos="2160"/>
        </w:tabs>
        <w:ind w:start="0" w:firstLine="1440"/>
      </w:pPr>
      <w:rPr>
        <w:sz w:val="24"/>
        <w:i w:val="false"/>
        <w:b w:val="false"/>
        <w:rFonts w:ascii="Times New Roman" w:hAnsi="Times New Roman" w:cs="Times New Roman"/>
      </w:rPr>
    </w:lvl>
    <w:lvl w:ilvl="3">
      <w:start w:val="1"/>
      <w:numFmt w:val="lowerRoman"/>
      <w:lvlText w:val="(%4)"/>
      <w:lvlJc w:val="end"/>
      <w:pPr>
        <w:tabs>
          <w:tab w:val="num" w:pos="2736"/>
        </w:tabs>
        <w:ind w:start="720" w:firstLine="1656"/>
      </w:pPr>
      <w:rPr>
        <w:sz w:val="24"/>
        <w:i w:val="false"/>
        <w:b w:val="false"/>
        <w:rFonts w:ascii="Times New Roman" w:hAnsi="Times New Roman" w:cs="Times New Roman"/>
      </w:rPr>
    </w:lvl>
    <w:lvl w:ilvl="4">
      <w:start w:val="1"/>
      <w:numFmt w:val="decimal"/>
      <w:lvlText w:val="(%5)"/>
      <w:lvlJc w:val="start"/>
      <w:pPr>
        <w:tabs>
          <w:tab w:val="num" w:pos="0"/>
        </w:tabs>
        <w:ind w:start="2160" w:hanging="720"/>
      </w:pPr>
    </w:lvl>
    <w:lvl w:ilvl="5">
      <w:start w:val="1"/>
      <w:numFmt w:val="lowerLetter"/>
      <w:lvlText w:val="(%6)"/>
      <w:lvlJc w:val="start"/>
      <w:pPr>
        <w:tabs>
          <w:tab w:val="num" w:pos="0"/>
        </w:tabs>
        <w:ind w:start="2880" w:hanging="720"/>
      </w:pPr>
    </w:lvl>
    <w:lvl w:ilvl="6">
      <w:start w:val="1"/>
      <w:numFmt w:val="lowerRoman"/>
      <w:lvlText w:val="(%7)"/>
      <w:lvlJc w:val="start"/>
      <w:pPr>
        <w:tabs>
          <w:tab w:val="num" w:pos="0"/>
        </w:tabs>
        <w:ind w:start="3600" w:hanging="720"/>
      </w:pPr>
    </w:lvl>
    <w:lvl w:ilvl="7">
      <w:start w:val="1"/>
      <w:numFmt w:val="lowerLetter"/>
      <w:lvlText w:val="(%8)"/>
      <w:lvlJc w:val="start"/>
      <w:pPr>
        <w:tabs>
          <w:tab w:val="num" w:pos="0"/>
        </w:tabs>
        <w:ind w:start="4320" w:hanging="720"/>
      </w:pPr>
    </w:lvl>
    <w:lvl w:ilvl="8">
      <w:start w:val="1"/>
      <w:numFmt w:val="lowerRoman"/>
      <w:lvlText w:val="(%9)"/>
      <w:lvlJc w:val="start"/>
      <w:pPr>
        <w:tabs>
          <w:tab w:val="num" w:pos="0"/>
        </w:tabs>
        <w:ind w:start="5040" w:hanging="720"/>
      </w:pPr>
    </w:lvl>
  </w:abstractNum>
  <w:abstractNum w:abstractNumId="19">
    <w:lvl w:ilvl="0">
      <w:start w:val="13"/>
      <w:numFmt w:val="decimal"/>
      <w:suff w:val="nothing"/>
      <w:lvlText w:val="ARTICLE %1"/>
      <w:lvlJc w:val="start"/>
      <w:pPr>
        <w:tabs>
          <w:tab w:val="num" w:pos="0"/>
        </w:tabs>
        <w:ind w:start="0" w:hanging="0"/>
      </w:pPr>
      <w:rPr>
        <w:sz w:val="24"/>
        <w:i w:val="false"/>
        <w:u w:val="single"/>
        <w:b w:val="false"/>
        <w:rFonts w:ascii="Times New Roman" w:hAnsi="Times New Roman" w:cs="Times New Roman"/>
      </w:rPr>
    </w:lvl>
    <w:lvl w:ilvl="1">
      <w:start w:val="9"/>
      <w:isLgl/>
      <w:numFmt w:val="decimal"/>
      <w:lvlText w:val="Section %1.%2."/>
      <w:lvlJc w:val="start"/>
      <w:pPr>
        <w:tabs>
          <w:tab w:val="num" w:pos="2880"/>
        </w:tabs>
        <w:ind w:start="0" w:firstLine="1440"/>
      </w:pPr>
      <w:rPr>
        <w:sz w:val="24"/>
        <w:i w:val="false"/>
        <w:u w:val="none"/>
        <w:b w:val="false"/>
        <w:rFonts w:ascii="Times New Roman" w:hAnsi="Times New Roman" w:cs="Times New Roman"/>
      </w:rPr>
    </w:lvl>
    <w:lvl w:ilvl="2">
      <w:start w:val="2"/>
      <w:numFmt w:val="lowerLetter"/>
      <w:lvlText w:val="(%3)   "/>
      <w:lvlJc w:val="start"/>
      <w:pPr>
        <w:tabs>
          <w:tab w:val="num" w:pos="2160"/>
        </w:tabs>
        <w:ind w:start="0" w:firstLine="1440"/>
      </w:pPr>
      <w:rPr>
        <w:sz w:val="24"/>
        <w:i w:val="false"/>
        <w:b w:val="false"/>
        <w:rFonts w:ascii="Times New Roman" w:hAnsi="Times New Roman" w:cs="Times New Roman"/>
      </w:rPr>
    </w:lvl>
    <w:lvl w:ilvl="3">
      <w:start w:val="1"/>
      <w:numFmt w:val="lowerRoman"/>
      <w:lvlText w:val="(%4)"/>
      <w:lvlJc w:val="end"/>
      <w:pPr>
        <w:tabs>
          <w:tab w:val="num" w:pos="2736"/>
        </w:tabs>
        <w:ind w:start="720" w:firstLine="1656"/>
      </w:pPr>
      <w:rPr>
        <w:sz w:val="24"/>
        <w:i w:val="false"/>
        <w:b w:val="false"/>
        <w:rFonts w:ascii="Times New Roman" w:hAnsi="Times New Roman" w:cs="Times New Roman"/>
      </w:rPr>
    </w:lvl>
    <w:lvl w:ilvl="4">
      <w:start w:val="1"/>
      <w:numFmt w:val="decimal"/>
      <w:lvlText w:val="(%5)"/>
      <w:lvlJc w:val="start"/>
      <w:pPr>
        <w:tabs>
          <w:tab w:val="num" w:pos="0"/>
        </w:tabs>
        <w:ind w:start="2160" w:hanging="720"/>
      </w:pPr>
    </w:lvl>
    <w:lvl w:ilvl="5">
      <w:start w:val="1"/>
      <w:numFmt w:val="lowerLetter"/>
      <w:lvlText w:val="(%6)"/>
      <w:lvlJc w:val="start"/>
      <w:pPr>
        <w:tabs>
          <w:tab w:val="num" w:pos="0"/>
        </w:tabs>
        <w:ind w:start="2880" w:hanging="720"/>
      </w:pPr>
    </w:lvl>
    <w:lvl w:ilvl="6">
      <w:start w:val="1"/>
      <w:numFmt w:val="lowerRoman"/>
      <w:lvlText w:val="(%7)"/>
      <w:lvlJc w:val="start"/>
      <w:pPr>
        <w:tabs>
          <w:tab w:val="num" w:pos="0"/>
        </w:tabs>
        <w:ind w:start="3600" w:hanging="720"/>
      </w:pPr>
    </w:lvl>
    <w:lvl w:ilvl="7">
      <w:start w:val="1"/>
      <w:numFmt w:val="lowerLetter"/>
      <w:lvlText w:val="(%8)"/>
      <w:lvlJc w:val="start"/>
      <w:pPr>
        <w:tabs>
          <w:tab w:val="num" w:pos="0"/>
        </w:tabs>
        <w:ind w:start="4320" w:hanging="720"/>
      </w:pPr>
    </w:lvl>
    <w:lvl w:ilvl="8">
      <w:start w:val="1"/>
      <w:numFmt w:val="lowerRoman"/>
      <w:lvlText w:val="(%9)"/>
      <w:lvlJc w:val="start"/>
      <w:pPr>
        <w:tabs>
          <w:tab w:val="num" w:pos="0"/>
        </w:tabs>
        <w:ind w:start="5040" w:hanging="720"/>
      </w:pPr>
    </w:lvl>
  </w:abstractNum>
  <w:abstractNum w:abstractNumId="20">
    <w:lvl w:ilvl="0">
      <w:start w:val="13"/>
      <w:numFmt w:val="decimal"/>
      <w:suff w:val="nothing"/>
      <w:lvlText w:val="ARTICLE %1"/>
      <w:lvlJc w:val="start"/>
      <w:pPr>
        <w:tabs>
          <w:tab w:val="num" w:pos="0"/>
        </w:tabs>
        <w:ind w:start="0" w:hanging="0"/>
      </w:pPr>
      <w:rPr>
        <w:sz w:val="24"/>
        <w:i w:val="false"/>
        <w:u w:val="single"/>
        <w:b w:val="false"/>
        <w:rFonts w:ascii="Times New Roman" w:hAnsi="Times New Roman" w:cs="Times New Roman"/>
      </w:rPr>
    </w:lvl>
    <w:lvl w:ilvl="1">
      <w:start w:val="11"/>
      <w:isLgl/>
      <w:numFmt w:val="decimal"/>
      <w:lvlText w:val="Section %1.%2."/>
      <w:lvlJc w:val="start"/>
      <w:pPr>
        <w:tabs>
          <w:tab w:val="num" w:pos="2880"/>
        </w:tabs>
        <w:ind w:start="0" w:firstLine="1440"/>
      </w:pPr>
      <w:rPr>
        <w:sz w:val="24"/>
        <w:i w:val="false"/>
        <w:u w:val="none"/>
        <w:b w:val="false"/>
        <w:rFonts w:ascii="Times New Roman" w:hAnsi="Times New Roman" w:cs="Times New Roman"/>
      </w:rPr>
    </w:lvl>
    <w:lvl w:ilvl="2">
      <w:start w:val="2"/>
      <w:numFmt w:val="lowerLetter"/>
      <w:lvlText w:val="(%3)   "/>
      <w:lvlJc w:val="start"/>
      <w:pPr>
        <w:tabs>
          <w:tab w:val="num" w:pos="2160"/>
        </w:tabs>
        <w:ind w:start="0" w:firstLine="1440"/>
      </w:pPr>
      <w:rPr>
        <w:sz w:val="24"/>
        <w:i w:val="false"/>
        <w:b w:val="false"/>
        <w:rFonts w:ascii="Times New Roman" w:hAnsi="Times New Roman" w:cs="Times New Roman"/>
      </w:rPr>
    </w:lvl>
    <w:lvl w:ilvl="3">
      <w:start w:val="1"/>
      <w:numFmt w:val="lowerRoman"/>
      <w:lvlText w:val="(%4)"/>
      <w:lvlJc w:val="end"/>
      <w:pPr>
        <w:tabs>
          <w:tab w:val="num" w:pos="2736"/>
        </w:tabs>
        <w:ind w:start="720" w:firstLine="1656"/>
      </w:pPr>
      <w:rPr>
        <w:sz w:val="24"/>
        <w:i w:val="false"/>
        <w:b w:val="false"/>
        <w:rFonts w:ascii="Times New Roman" w:hAnsi="Times New Roman" w:cs="Times New Roman"/>
      </w:rPr>
    </w:lvl>
    <w:lvl w:ilvl="4">
      <w:start w:val="1"/>
      <w:numFmt w:val="decimal"/>
      <w:lvlText w:val="(%5)"/>
      <w:lvlJc w:val="start"/>
      <w:pPr>
        <w:tabs>
          <w:tab w:val="num" w:pos="0"/>
        </w:tabs>
        <w:ind w:start="2160" w:hanging="720"/>
      </w:pPr>
    </w:lvl>
    <w:lvl w:ilvl="5">
      <w:start w:val="1"/>
      <w:numFmt w:val="lowerLetter"/>
      <w:lvlText w:val="(%6)"/>
      <w:lvlJc w:val="start"/>
      <w:pPr>
        <w:tabs>
          <w:tab w:val="num" w:pos="0"/>
        </w:tabs>
        <w:ind w:start="2880" w:hanging="720"/>
      </w:pPr>
    </w:lvl>
    <w:lvl w:ilvl="6">
      <w:start w:val="1"/>
      <w:numFmt w:val="lowerRoman"/>
      <w:lvlText w:val="(%7)"/>
      <w:lvlJc w:val="start"/>
      <w:pPr>
        <w:tabs>
          <w:tab w:val="num" w:pos="0"/>
        </w:tabs>
        <w:ind w:start="3600" w:hanging="720"/>
      </w:pPr>
    </w:lvl>
    <w:lvl w:ilvl="7">
      <w:start w:val="1"/>
      <w:numFmt w:val="lowerLetter"/>
      <w:lvlText w:val="(%8)"/>
      <w:lvlJc w:val="start"/>
      <w:pPr>
        <w:tabs>
          <w:tab w:val="num" w:pos="0"/>
        </w:tabs>
        <w:ind w:start="4320" w:hanging="720"/>
      </w:pPr>
    </w:lvl>
    <w:lvl w:ilvl="8">
      <w:start w:val="1"/>
      <w:numFmt w:val="lowerRoman"/>
      <w:lvlText w:val="(%9)"/>
      <w:lvlJc w:val="start"/>
      <w:pPr>
        <w:tabs>
          <w:tab w:val="num" w:pos="0"/>
        </w:tabs>
        <w:ind w:start="5040" w:hanging="720"/>
      </w:pPr>
    </w:lvl>
  </w:abstractNum>
  <w:abstractNum w:abstractNumId="21">
    <w:lvl w:ilvl="0">
      <w:start w:val="2"/>
      <w:numFmt w:val="decimal"/>
      <w:suff w:val="nothing"/>
      <w:lvlText w:val="ARTICLE %1"/>
      <w:lvlJc w:val="start"/>
      <w:pPr>
        <w:tabs>
          <w:tab w:val="num" w:pos="0"/>
        </w:tabs>
        <w:ind w:start="0" w:hanging="0"/>
      </w:pPr>
      <w:rPr>
        <w:sz w:val="24"/>
        <w:i w:val="false"/>
        <w:u w:val="single"/>
        <w:b w:val="false"/>
        <w:rFonts w:ascii="Times New Roman" w:hAnsi="Times New Roman" w:cs="Times New Roman"/>
      </w:rPr>
    </w:lvl>
    <w:lvl w:ilvl="1">
      <w:start w:val="6"/>
      <w:isLgl/>
      <w:numFmt w:val="decimal"/>
      <w:lvlText w:val="Section %1.%2."/>
      <w:lvlJc w:val="start"/>
      <w:pPr>
        <w:tabs>
          <w:tab w:val="num" w:pos="2880"/>
        </w:tabs>
        <w:ind w:start="0" w:firstLine="1440"/>
      </w:pPr>
      <w:rPr>
        <w:sz w:val="24"/>
        <w:i w:val="false"/>
        <w:u w:val="none"/>
        <w:b w:val="false"/>
        <w:rFonts w:ascii="Times New Roman" w:hAnsi="Times New Roman" w:cs="Times New Roman"/>
      </w:rPr>
    </w:lvl>
    <w:lvl w:ilvl="2">
      <w:start w:val="2"/>
      <w:numFmt w:val="lowerLetter"/>
      <w:lvlText w:val="(%3)   "/>
      <w:lvlJc w:val="start"/>
      <w:pPr>
        <w:tabs>
          <w:tab w:val="num" w:pos="2160"/>
        </w:tabs>
        <w:ind w:start="0" w:firstLine="1440"/>
      </w:pPr>
      <w:rPr>
        <w:sz w:val="24"/>
        <w:i w:val="false"/>
        <w:b w:val="false"/>
        <w:rFonts w:ascii="Times New Roman" w:hAnsi="Times New Roman" w:cs="Times New Roman"/>
      </w:rPr>
    </w:lvl>
    <w:lvl w:ilvl="3">
      <w:start w:val="1"/>
      <w:numFmt w:val="lowerRoman"/>
      <w:lvlText w:val="(%4)"/>
      <w:lvlJc w:val="end"/>
      <w:pPr>
        <w:tabs>
          <w:tab w:val="num" w:pos="2736"/>
        </w:tabs>
        <w:ind w:start="720" w:firstLine="1656"/>
      </w:pPr>
      <w:rPr>
        <w:sz w:val="24"/>
        <w:i w:val="false"/>
        <w:b w:val="false"/>
        <w:rFonts w:ascii="Times New Roman" w:hAnsi="Times New Roman" w:cs="Times New Roman"/>
      </w:rPr>
    </w:lvl>
    <w:lvl w:ilvl="4">
      <w:start w:val="1"/>
      <w:numFmt w:val="decimal"/>
      <w:lvlText w:val="(%5)"/>
      <w:lvlJc w:val="start"/>
      <w:pPr>
        <w:tabs>
          <w:tab w:val="num" w:pos="0"/>
        </w:tabs>
        <w:ind w:start="2160" w:hanging="720"/>
      </w:pPr>
    </w:lvl>
    <w:lvl w:ilvl="5">
      <w:start w:val="1"/>
      <w:numFmt w:val="lowerLetter"/>
      <w:lvlText w:val="(%6)"/>
      <w:lvlJc w:val="start"/>
      <w:pPr>
        <w:tabs>
          <w:tab w:val="num" w:pos="0"/>
        </w:tabs>
        <w:ind w:start="2880" w:hanging="720"/>
      </w:pPr>
    </w:lvl>
    <w:lvl w:ilvl="6">
      <w:start w:val="1"/>
      <w:numFmt w:val="lowerRoman"/>
      <w:lvlText w:val="(%7)"/>
      <w:lvlJc w:val="start"/>
      <w:pPr>
        <w:tabs>
          <w:tab w:val="num" w:pos="0"/>
        </w:tabs>
        <w:ind w:start="3600" w:hanging="720"/>
      </w:pPr>
    </w:lvl>
    <w:lvl w:ilvl="7">
      <w:start w:val="1"/>
      <w:numFmt w:val="lowerLetter"/>
      <w:lvlText w:val="(%8)"/>
      <w:lvlJc w:val="start"/>
      <w:pPr>
        <w:tabs>
          <w:tab w:val="num" w:pos="0"/>
        </w:tabs>
        <w:ind w:start="4320" w:hanging="720"/>
      </w:pPr>
    </w:lvl>
    <w:lvl w:ilvl="8">
      <w:start w:val="1"/>
      <w:numFmt w:val="lowerRoman"/>
      <w:lvlText w:val="(%9)"/>
      <w:lvlJc w:val="start"/>
      <w:pPr>
        <w:tabs>
          <w:tab w:val="num" w:pos="0"/>
        </w:tabs>
        <w:ind w:start="5040" w:hanging="720"/>
      </w:pPr>
    </w:lvl>
  </w:abstractNum>
  <w:abstractNum w:abstractNumId="22">
    <w:lvl w:ilvl="0">
      <w:start w:val="3"/>
      <w:numFmt w:val="decimal"/>
      <w:suff w:val="nothing"/>
      <w:lvlText w:val="ARTICLE %1"/>
      <w:lvlJc w:val="start"/>
      <w:pPr>
        <w:tabs>
          <w:tab w:val="num" w:pos="0"/>
        </w:tabs>
        <w:ind w:start="0" w:hanging="0"/>
      </w:pPr>
      <w:rPr>
        <w:sz w:val="24"/>
        <w:i w:val="false"/>
        <w:u w:val="single"/>
        <w:b w:val="false"/>
        <w:rFonts w:ascii="Times New Roman" w:hAnsi="Times New Roman" w:cs="Times New Roman"/>
      </w:rPr>
    </w:lvl>
    <w:lvl w:ilvl="1">
      <w:start w:val="12"/>
      <w:isLgl/>
      <w:numFmt w:val="decimal"/>
      <w:lvlText w:val="Section %1.%2."/>
      <w:lvlJc w:val="start"/>
      <w:pPr>
        <w:tabs>
          <w:tab w:val="num" w:pos="2880"/>
        </w:tabs>
        <w:ind w:start="0" w:firstLine="1440"/>
      </w:pPr>
      <w:rPr>
        <w:sz w:val="24"/>
        <w:i w:val="false"/>
        <w:u w:val="none"/>
        <w:b w:val="false"/>
        <w:rFonts w:ascii="Times New Roman" w:hAnsi="Times New Roman" w:cs="Times New Roman"/>
      </w:rPr>
    </w:lvl>
    <w:lvl w:ilvl="2">
      <w:start w:val="2"/>
      <w:numFmt w:val="lowerLetter"/>
      <w:lvlText w:val="(%3)   "/>
      <w:lvlJc w:val="start"/>
      <w:pPr>
        <w:tabs>
          <w:tab w:val="num" w:pos="2160"/>
        </w:tabs>
        <w:ind w:start="0" w:firstLine="1440"/>
      </w:pPr>
      <w:rPr>
        <w:sz w:val="24"/>
        <w:i w:val="false"/>
        <w:b w:val="false"/>
        <w:rFonts w:ascii="Times New Roman" w:hAnsi="Times New Roman" w:cs="Times New Roman"/>
      </w:rPr>
    </w:lvl>
    <w:lvl w:ilvl="3">
      <w:start w:val="1"/>
      <w:numFmt w:val="lowerRoman"/>
      <w:lvlText w:val="(%4)"/>
      <w:lvlJc w:val="end"/>
      <w:pPr>
        <w:tabs>
          <w:tab w:val="num" w:pos="2736"/>
        </w:tabs>
        <w:ind w:start="720" w:firstLine="1656"/>
      </w:pPr>
      <w:rPr>
        <w:sz w:val="24"/>
        <w:i w:val="false"/>
        <w:b w:val="false"/>
        <w:rFonts w:ascii="Times New Roman" w:hAnsi="Times New Roman" w:cs="Times New Roman"/>
      </w:rPr>
    </w:lvl>
    <w:lvl w:ilvl="4">
      <w:start w:val="1"/>
      <w:numFmt w:val="decimal"/>
      <w:lvlText w:val="(%5)"/>
      <w:lvlJc w:val="start"/>
      <w:pPr>
        <w:tabs>
          <w:tab w:val="num" w:pos="0"/>
        </w:tabs>
        <w:ind w:start="2160" w:hanging="720"/>
      </w:pPr>
    </w:lvl>
    <w:lvl w:ilvl="5">
      <w:start w:val="1"/>
      <w:numFmt w:val="lowerLetter"/>
      <w:lvlText w:val="(%6)"/>
      <w:lvlJc w:val="start"/>
      <w:pPr>
        <w:tabs>
          <w:tab w:val="num" w:pos="0"/>
        </w:tabs>
        <w:ind w:start="2880" w:hanging="720"/>
      </w:pPr>
    </w:lvl>
    <w:lvl w:ilvl="6">
      <w:start w:val="1"/>
      <w:numFmt w:val="lowerRoman"/>
      <w:lvlText w:val="(%7)"/>
      <w:lvlJc w:val="start"/>
      <w:pPr>
        <w:tabs>
          <w:tab w:val="num" w:pos="0"/>
        </w:tabs>
        <w:ind w:start="3600" w:hanging="720"/>
      </w:pPr>
    </w:lvl>
    <w:lvl w:ilvl="7">
      <w:start w:val="1"/>
      <w:numFmt w:val="lowerLetter"/>
      <w:lvlText w:val="(%8)"/>
      <w:lvlJc w:val="start"/>
      <w:pPr>
        <w:tabs>
          <w:tab w:val="num" w:pos="0"/>
        </w:tabs>
        <w:ind w:start="4320" w:hanging="720"/>
      </w:pPr>
    </w:lvl>
    <w:lvl w:ilvl="8">
      <w:start w:val="1"/>
      <w:numFmt w:val="lowerRoman"/>
      <w:lvlText w:val="(%9)"/>
      <w:lvlJc w:val="start"/>
      <w:pPr>
        <w:tabs>
          <w:tab w:val="num" w:pos="0"/>
        </w:tabs>
        <w:ind w:start="5040" w:hanging="720"/>
      </w:pPr>
    </w:lvl>
  </w:abstractNum>
  <w:abstractNum w:abstractNumId="23">
    <w:lvl w:ilvl="0">
      <w:start w:val="1"/>
      <w:numFmt w:val="decimal"/>
      <w:suff w:val="nothing"/>
      <w:lvlText w:val="ARTICLE %1"/>
      <w:lvlJc w:val="start"/>
      <w:pPr>
        <w:tabs>
          <w:tab w:val="num" w:pos="0"/>
        </w:tabs>
        <w:ind w:start="0" w:hanging="0"/>
      </w:pPr>
      <w:rPr>
        <w:sz w:val="24"/>
        <w:i w:val="false"/>
        <w:u w:val="single"/>
        <w:b w:val="false"/>
        <w:rFonts w:ascii="Times New Roman" w:hAnsi="Times New Roman" w:cs="Times New Roman"/>
      </w:rPr>
    </w:lvl>
    <w:lvl w:ilvl="1">
      <w:start w:val="1"/>
      <w:isLgl/>
      <w:numFmt w:val="decimal"/>
      <w:lvlText w:val="[Section %1.%2."/>
      <w:lvlJc w:val="start"/>
      <w:pPr>
        <w:tabs>
          <w:tab w:val="num" w:pos="2880"/>
        </w:tabs>
        <w:ind w:start="0" w:firstLine="1440"/>
      </w:pPr>
      <w:rPr>
        <w:sz w:val="24"/>
        <w:i w:val="false"/>
        <w:u w:val="none"/>
        <w:b w:val="false"/>
        <w:rFonts w:ascii="Times New Roman" w:hAnsi="Times New Roman" w:cs="Times New Roman"/>
      </w:rPr>
    </w:lvl>
    <w:lvl w:ilvl="2">
      <w:start w:val="1"/>
      <w:numFmt w:val="lowerLetter"/>
      <w:lvlText w:val="(%3)   "/>
      <w:lvlJc w:val="start"/>
      <w:pPr>
        <w:tabs>
          <w:tab w:val="num" w:pos="2160"/>
        </w:tabs>
        <w:ind w:start="0" w:firstLine="1440"/>
      </w:pPr>
      <w:rPr>
        <w:sz w:val="24"/>
        <w:i w:val="false"/>
        <w:b w:val="false"/>
        <w:rFonts w:ascii="Times New Roman" w:hAnsi="Times New Roman" w:cs="Times New Roman"/>
      </w:rPr>
    </w:lvl>
    <w:lvl w:ilvl="3">
      <w:start w:val="1"/>
      <w:numFmt w:val="lowerRoman"/>
      <w:lvlText w:val="(%4)"/>
      <w:lvlJc w:val="end"/>
      <w:pPr>
        <w:tabs>
          <w:tab w:val="num" w:pos="2736"/>
        </w:tabs>
        <w:ind w:start="720" w:firstLine="1656"/>
      </w:pPr>
      <w:rPr>
        <w:sz w:val="24"/>
        <w:i w:val="false"/>
        <w:b w:val="false"/>
        <w:rFonts w:ascii="Times New Roman" w:hAnsi="Times New Roman" w:cs="Times New Roman"/>
      </w:rPr>
    </w:lvl>
    <w:lvl w:ilvl="4">
      <w:start w:val="1"/>
      <w:numFmt w:val="decimal"/>
      <w:lvlText w:val="(%5)"/>
      <w:lvlJc w:val="start"/>
      <w:pPr>
        <w:tabs>
          <w:tab w:val="num" w:pos="0"/>
        </w:tabs>
        <w:ind w:start="2160" w:hanging="720"/>
      </w:pPr>
    </w:lvl>
    <w:lvl w:ilvl="5">
      <w:start w:val="1"/>
      <w:numFmt w:val="lowerLetter"/>
      <w:lvlText w:val="(%6)"/>
      <w:lvlJc w:val="start"/>
      <w:pPr>
        <w:tabs>
          <w:tab w:val="num" w:pos="0"/>
        </w:tabs>
        <w:ind w:start="2880" w:hanging="720"/>
      </w:pPr>
    </w:lvl>
    <w:lvl w:ilvl="6">
      <w:start w:val="1"/>
      <w:numFmt w:val="lowerRoman"/>
      <w:lvlText w:val="(%7)"/>
      <w:lvlJc w:val="start"/>
      <w:pPr>
        <w:tabs>
          <w:tab w:val="num" w:pos="0"/>
        </w:tabs>
        <w:ind w:start="3600" w:hanging="720"/>
      </w:pPr>
    </w:lvl>
    <w:lvl w:ilvl="7">
      <w:start w:val="1"/>
      <w:numFmt w:val="lowerLetter"/>
      <w:lvlText w:val="(%8)"/>
      <w:lvlJc w:val="start"/>
      <w:pPr>
        <w:tabs>
          <w:tab w:val="num" w:pos="0"/>
        </w:tabs>
        <w:ind w:start="4320" w:hanging="720"/>
      </w:pPr>
    </w:lvl>
    <w:lvl w:ilvl="8">
      <w:start w:val="1"/>
      <w:numFmt w:val="lowerRoman"/>
      <w:lvlText w:val="(%9)"/>
      <w:lvlJc w:val="start"/>
      <w:pPr>
        <w:tabs>
          <w:tab w:val="num" w:pos="0"/>
        </w:tabs>
        <w:ind w:start="5040" w:hanging="720"/>
      </w:pPr>
    </w:lvl>
  </w:abstractNum>
  <w:abstractNum w:abstractNumId="24">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start w:val="1"/>
      <w:numFmt w:val="decimal"/>
      <w:lvlText w:val="%1"/>
      <w:lvlJc w:val="start"/>
      <w:pPr>
        <w:tabs>
          <w:tab w:val="num" w:pos="86"/>
        </w:tabs>
        <w:ind w:start="86" w:hanging="86"/>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start w:val="1"/>
      <w:numFmt w:val="decimal"/>
      <w:lvlText w:val="%1."/>
      <w:lvlJc w:val="start"/>
      <w:pPr>
        <w:tabs>
          <w:tab w:val="num" w:pos="86"/>
        </w:tabs>
        <w:ind w:start="86" w:hanging="86"/>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compatSetting w:name="compatibilityMode" w:uri="http://schemas.microsoft.com/office/word" w:val="11"/>
  </w:compat>
  <w:docVars>
    <w:docVar w:name="DefinedTerms" w:val="True"/>
    <w:docVar w:name="DOCX97_1" w:val="306655.14"/>
    <w:docVar w:name="DOCX97_10" w:val="9/29/99 11:03:26 PM"/>
    <w:docVar w:name="DOCX97_2" w:val="s:\wachtelllipton_source\wl_part2_101199\fs2\imanage\wlrk\comg\102\14\306655.14"/>
    <w:docVar w:name="DOCX97_3" w:val="WORD7"/>
    <w:docVar w:name="DOCX97_4" w:val="s:\wachtelllipton_target\wl_part2_101199\fs2\imanage\wlrk\comg\102\14\306655.14"/>
    <w:docVar w:name="DOCX97_5" w:val=" 331776"/>
    <w:docVar w:name="DOCX97_6" w:val="601088"/>
    <w:docVar w:name="DOCX97_8" w:val="10/31/99 7:12:09 AM"/>
    <w:docVar w:name="DOCX97_89" w:val="Word7MacrosDone"/>
    <w:docVar w:name="DOCX97_91" w:val="WachtelLipton"/>
    <w:docVar w:name="DOCX97_92" w:val="10/31/99"/>
    <w:docVar w:name="DOCX97_93" w:val="7:12:13 AM"/>
    <w:docVar w:name="DocXToolsFileType" w:val="Word97"/>
    <w:docVar w:name="DoubleSpace" w:val="0"/>
    <w:docVar w:name="DraftDate" w:val="12/3/01"/>
    <w:docVar w:name="DraftStamp" w:val="True"/>
    <w:docVar w:name="ExcludedTerms" w:val=""/>
    <w:docVar w:name="FirstLineIndent" w:val="1"/>
    <w:docVar w:name="FontName" w:val="Times New Roman"/>
    <w:docVar w:name="FooterStamp" w:val="True"/>
    <w:docVar w:name="FooterStampDateTimePosition" w:val="None"/>
    <w:docVar w:name="FooterStampIncludeDocNum" w:val="1"/>
    <w:docVar w:name="FooterStampWhichPages" w:val="First"/>
    <w:docVar w:name="HeaderStampsWhichPages" w:val="First"/>
    <w:docVar w:name="IncludeCoverPage" w:val="1"/>
    <w:docVar w:name="IncludeSchedule" w:val="1"/>
    <w:docVar w:name="IncludeTOC" w:val="1"/>
    <w:docVar w:name="PrivilegeCount" w:val="1"/>
    <w:docVar w:name="PrivilegeStamp" w:val="True"/>
    <w:docVar w:name="PrivilegeStampText1" w:val="PRIVILEGED AND CONFIDENTIAL"/>
    <w:docVar w:name="PrivilegeStampText2" w:val="EXECUTION COPY"/>
    <w:docVar w:name="WLRKWord Version" w:val="3.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CenteredHeading"/>
    <w:qFormat/>
    <w:pPr>
      <w:keepNext w:val="true"/>
      <w:keepLines/>
      <w:numPr>
        <w:ilvl w:val="0"/>
        <w:numId w:val="12"/>
      </w:numPr>
      <w:spacing w:before="0" w:after="240"/>
      <w:jc w:val="center"/>
      <w:outlineLvl w:val="0"/>
    </w:pPr>
    <w:rPr>
      <w:u w:val="single"/>
    </w:rPr>
  </w:style>
  <w:style w:type="paragraph" w:styleId="Heading2">
    <w:name w:val="heading 2"/>
    <w:basedOn w:val="Normal"/>
    <w:next w:val="BodyText"/>
    <w:qFormat/>
    <w:pPr>
      <w:numPr>
        <w:ilvl w:val="0"/>
        <w:numId w:val="12"/>
      </w:numPr>
      <w:spacing w:before="0" w:after="240"/>
      <w:outlineLvl w:val="1"/>
    </w:pPr>
    <w:rPr/>
  </w:style>
  <w:style w:type="paragraph" w:styleId="Heading3">
    <w:name w:val="heading 3"/>
    <w:basedOn w:val="Normal"/>
    <w:next w:val="BodyText"/>
    <w:qFormat/>
    <w:pPr>
      <w:numPr>
        <w:ilvl w:val="0"/>
        <w:numId w:val="12"/>
      </w:numPr>
      <w:spacing w:before="0" w:after="240"/>
      <w:outlineLvl w:val="2"/>
    </w:pPr>
    <w:rPr/>
  </w:style>
  <w:style w:type="paragraph" w:styleId="Heading4">
    <w:name w:val="heading 4"/>
    <w:basedOn w:val="Normal"/>
    <w:next w:val="BodyText"/>
    <w:qFormat/>
    <w:pPr>
      <w:numPr>
        <w:ilvl w:val="0"/>
        <w:numId w:val="12"/>
      </w:numPr>
      <w:spacing w:before="0" w:after="240"/>
      <w:outlineLvl w:val="3"/>
    </w:pPr>
    <w:rPr/>
  </w:style>
  <w:style w:type="paragraph" w:styleId="Heading5">
    <w:name w:val="heading 5"/>
    <w:basedOn w:val="Normal"/>
    <w:next w:val="BodyText"/>
    <w:qFormat/>
    <w:pPr>
      <w:numPr>
        <w:ilvl w:val="0"/>
        <w:numId w:val="12"/>
      </w:numPr>
      <w:spacing w:before="0" w:after="240"/>
      <w:outlineLvl w:val="4"/>
    </w:pPr>
    <w:rPr/>
  </w:style>
  <w:style w:type="paragraph" w:styleId="Heading6">
    <w:name w:val="heading 6"/>
    <w:basedOn w:val="Normal"/>
    <w:next w:val="BodyText"/>
    <w:qFormat/>
    <w:pPr>
      <w:numPr>
        <w:ilvl w:val="0"/>
        <w:numId w:val="12"/>
      </w:numPr>
      <w:spacing w:before="0" w:after="240"/>
      <w:outlineLvl w:val="5"/>
    </w:pPr>
    <w:rPr/>
  </w:style>
  <w:style w:type="paragraph" w:styleId="Heading7">
    <w:name w:val="heading 7"/>
    <w:basedOn w:val="Normal"/>
    <w:next w:val="BodyText"/>
    <w:qFormat/>
    <w:pPr>
      <w:numPr>
        <w:ilvl w:val="0"/>
        <w:numId w:val="12"/>
      </w:numPr>
      <w:spacing w:before="0" w:after="240"/>
      <w:outlineLvl w:val="6"/>
    </w:pPr>
    <w:rPr/>
  </w:style>
  <w:style w:type="paragraph" w:styleId="Heading8">
    <w:name w:val="heading 8"/>
    <w:basedOn w:val="Normal"/>
    <w:next w:val="BodyText"/>
    <w:qFormat/>
    <w:pPr>
      <w:numPr>
        <w:ilvl w:val="0"/>
        <w:numId w:val="12"/>
      </w:numPr>
      <w:outlineLvl w:val="7"/>
    </w:pPr>
    <w:rPr/>
  </w:style>
  <w:style w:type="paragraph" w:styleId="Heading9">
    <w:name w:val="heading 9"/>
    <w:basedOn w:val="Normal"/>
    <w:next w:val="BodyText"/>
    <w:qFormat/>
    <w:pPr>
      <w:numPr>
        <w:ilvl w:val="0"/>
        <w:numId w:val="12"/>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sz w:val="24"/>
      <w:u w:val="single"/>
    </w:rPr>
  </w:style>
  <w:style w:type="character" w:styleId="WW8Num11z1">
    <w:name w:val="WW8Num11z1"/>
    <w:qFormat/>
    <w:rPr>
      <w:rFonts w:ascii="Times New Roman" w:hAnsi="Times New Roman" w:cs="Times New Roman"/>
      <w:b w:val="false"/>
      <w:i w:val="false"/>
      <w:sz w:val="24"/>
      <w:u w:val="none"/>
    </w:rPr>
  </w:style>
  <w:style w:type="character" w:styleId="WW8Num11z2">
    <w:name w:val="WW8Num11z2"/>
    <w:qFormat/>
    <w:rPr>
      <w:rFonts w:ascii="Times New Roman" w:hAnsi="Times New Roman" w:cs="Times New Roman"/>
      <w:b w:val="false"/>
      <w:i w:val="false"/>
      <w:sz w:val="24"/>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CG Times" w:hAnsi="CG Times" w:cs="CG Times"/>
      <w:b w:val="false"/>
      <w:i w:val="false"/>
      <w:caps w:val="false"/>
      <w:smallCaps w:val="false"/>
      <w:strike w:val="false"/>
      <w:dstrike w:val="false"/>
      <w:shadow w:val="false"/>
      <w:vanish w:val="false"/>
      <w:color w:val="auto"/>
      <w:kern w:val="0"/>
      <w:position w:val="0"/>
      <w:sz w:val="24"/>
      <w:sz w:val="24"/>
      <w:u w:val="none"/>
      <w:vertAlign w:val="baseline"/>
    </w:rPr>
  </w:style>
  <w:style w:type="character" w:styleId="WW8Num17z3">
    <w:name w:val="WW8Num17z3"/>
    <w:qFormat/>
    <w:rPr>
      <w:rFonts w:ascii="Times New Roman" w:hAnsi="Times New Roman" w:cs="Times New Roman"/>
      <w:b w:val="false"/>
      <w:i w:val="false"/>
      <w:sz w:val="24"/>
    </w:rPr>
  </w:style>
  <w:style w:type="character" w:styleId="WW8Num18z0">
    <w:name w:val="WW8Num18z0"/>
    <w:qFormat/>
    <w:rPr/>
  </w:style>
  <w:style w:type="character" w:styleId="WW8NumSt38z0">
    <w:name w:val="WW8NumSt38z0"/>
    <w:qFormat/>
    <w:rPr>
      <w:rFonts w:ascii="Times New Roman" w:hAnsi="Times New Roman" w:cs="Times New Roman"/>
      <w:b w:val="false"/>
      <w:i w:val="false"/>
      <w:sz w:val="24"/>
      <w:u w:val="single"/>
    </w:rPr>
  </w:style>
  <w:style w:type="character" w:styleId="WW8NumSt38z1">
    <w:name w:val="WW8NumSt38z1"/>
    <w:qFormat/>
    <w:rPr>
      <w:rFonts w:ascii="Times New Roman" w:hAnsi="Times New Roman" w:cs="Times New Roman"/>
      <w:b w:val="false"/>
      <w:i w:val="false"/>
      <w:sz w:val="24"/>
      <w:u w:val="none"/>
    </w:rPr>
  </w:style>
  <w:style w:type="character" w:styleId="WW8NumSt38z2">
    <w:name w:val="WW8NumSt38z2"/>
    <w:qFormat/>
    <w:rPr>
      <w:rFonts w:ascii="Times New Roman" w:hAnsi="Times New Roman" w:cs="Times New Roman"/>
      <w:b w:val="false"/>
      <w:i w:val="false"/>
      <w:sz w:val="24"/>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WLRK Footnote" w:hAnsi="WLRK Footnote" w:cs="WLRK Footnote"/>
      <w:position w:val="0"/>
      <w:sz w:val="24"/>
      <w:sz w:val="24"/>
      <w:vertAlign w:val="baseli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IndexLink">
    <w:name w:val="Index Link"/>
    <w:qFormat/>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240"/>
      <w:ind w:firstLine="1440" w:start="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CenteredHeading">
    <w:name w:val="Centered Heading"/>
    <w:basedOn w:val="Normal"/>
    <w:next w:val="BodyText"/>
    <w:qFormat/>
    <w:pPr>
      <w:keepNext w:val="true"/>
      <w:spacing w:before="0" w:after="240"/>
      <w:jc w:val="center"/>
    </w:pPr>
    <w:rPr/>
  </w:style>
  <w:style w:type="paragraph" w:styleId="LeftHeading">
    <w:name w:val="Left Heading"/>
    <w:basedOn w:val="Normal"/>
    <w:next w:val="Normal"/>
    <w:qFormat/>
    <w:pPr>
      <w:keepNext w:val="true"/>
      <w:spacing w:before="0" w:after="240"/>
      <w:ind w:hanging="0" w:start="0" w:end="4320"/>
    </w:pPr>
    <w:rPr>
      <w:u w:val="single"/>
    </w:rPr>
  </w:style>
  <w:style w:type="paragraph" w:styleId="NumberedList">
    <w:name w:val="Numbered List"/>
    <w:basedOn w:val="BodyText"/>
    <w:qFormat/>
    <w:pPr>
      <w:numPr>
        <w:ilvl w:val="0"/>
        <w:numId w:val="24"/>
      </w:numPr>
    </w:pPr>
    <w:rPr/>
  </w:style>
  <w:style w:type="paragraph" w:styleId="CoverText">
    <w:name w:val="Cover Text"/>
    <w:basedOn w:val="Normal"/>
    <w:qFormat/>
    <w:pPr>
      <w:pBdr>
        <w:bottom w:val="double" w:sz="6" w:space="1" w:color="000000"/>
      </w:pBdr>
      <w:spacing w:before="0" w:after="480"/>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ParagraphDivider">
    <w:name w:val="Paragraph Divider"/>
    <w:basedOn w:val="Normal"/>
    <w:qFormat/>
    <w:pPr>
      <w:tabs>
        <w:tab w:val="clear" w:pos="720"/>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s>
      <w:spacing w:before="0" w:after="240"/>
      <w:jc w:val="center"/>
    </w:pPr>
    <w:rPr/>
  </w:style>
  <w:style w:type="paragraph" w:styleId="Index1">
    <w:name w:val="index 1"/>
    <w:basedOn w:val="Normal"/>
    <w:next w:val="Normal"/>
    <w:pPr>
      <w:tabs>
        <w:tab w:val="clear" w:pos="720"/>
        <w:tab w:val="right" w:pos="4320" w:leader="dot"/>
      </w:tabs>
      <w:ind w:hanging="240" w:start="240" w:end="0"/>
    </w:pPr>
    <w:rPr/>
  </w:style>
  <w:style w:type="paragraph" w:styleId="Index2">
    <w:name w:val="index 2"/>
    <w:basedOn w:val="Normal"/>
    <w:next w:val="Normal"/>
    <w:pPr>
      <w:tabs>
        <w:tab w:val="clear" w:pos="720"/>
        <w:tab w:val="right" w:pos="4320" w:leader="dot"/>
      </w:tabs>
      <w:ind w:hanging="240" w:start="480" w:end="0"/>
    </w:pPr>
    <w:rPr/>
  </w:style>
  <w:style w:type="paragraph" w:styleId="IndexHeading">
    <w:name w:val="index heading"/>
    <w:basedOn w:val="Normal"/>
    <w:next w:val="Index1"/>
    <w:pPr/>
    <w:rPr/>
  </w:style>
  <w:style w:type="paragraph" w:styleId="ScheduleAndExhibits">
    <w:name w:val="Schedule And Exhibits"/>
    <w:basedOn w:val="Normal"/>
    <w:qFormat/>
    <w:pPr>
      <w:tabs>
        <w:tab w:val="clear" w:pos="720"/>
        <w:tab w:val="left" w:pos="2880" w:leader="none"/>
      </w:tabs>
      <w:spacing w:before="0" w:after="240"/>
      <w:ind w:hanging="2880" w:start="2880" w:end="0"/>
    </w:pPr>
    <w:rPr/>
  </w:style>
  <w:style w:type="paragraph" w:styleId="Quote">
    <w:name w:val="Quote"/>
    <w:basedOn w:val="Normal"/>
    <w:qFormat/>
    <w:pPr>
      <w:spacing w:before="0" w:after="240"/>
      <w:ind w:hanging="0" w:start="720" w:end="0"/>
    </w:pPr>
    <w:rPr/>
  </w:style>
  <w:style w:type="paragraph" w:styleId="TOC1">
    <w:name w:val="toc 1"/>
    <w:basedOn w:val="Normal"/>
    <w:pPr>
      <w:keepNext w:val="true"/>
      <w:keepLines/>
      <w:spacing w:before="480" w:after="240"/>
      <w:jc w:val="center"/>
    </w:pPr>
    <w:rPr>
      <w:u w:val="single"/>
      <w:lang w:val="en-CA" w:eastAsia="en-CA"/>
    </w:rPr>
  </w:style>
  <w:style w:type="paragraph" w:styleId="TOC2">
    <w:name w:val="toc 2"/>
    <w:basedOn w:val="TOC1"/>
    <w:pPr>
      <w:keepNext w:val="false"/>
      <w:keepLines w:val="false"/>
      <w:tabs>
        <w:tab w:val="clear" w:pos="720"/>
        <w:tab w:val="left" w:pos="2160" w:leader="none"/>
        <w:tab w:val="right" w:pos="9180" w:leader="dot"/>
      </w:tabs>
      <w:spacing w:before="0" w:after="0"/>
      <w:ind w:hanging="2160" w:start="2160" w:end="1440"/>
      <w:jc w:val="start"/>
    </w:pPr>
    <w:rPr>
      <w:u w:val="none"/>
    </w:rPr>
  </w:style>
  <w:style w:type="paragraph" w:styleId="TOC3">
    <w:name w:val="toc 3"/>
    <w:basedOn w:val="TOC1"/>
    <w:pPr/>
    <w:rPr/>
  </w:style>
  <w:style w:type="paragraph" w:styleId="TOC4">
    <w:name w:val="toc 4"/>
    <w:basedOn w:val="TOC1"/>
    <w:pPr/>
    <w:rPr/>
  </w:style>
  <w:style w:type="paragraph" w:styleId="TOC5">
    <w:name w:val="toc 5"/>
    <w:basedOn w:val="TOC1"/>
    <w:pPr/>
    <w:rPr/>
  </w:style>
  <w:style w:type="paragraph" w:styleId="TOC6">
    <w:name w:val="toc 6"/>
    <w:basedOn w:val="TOC1"/>
    <w:pPr/>
    <w:rPr/>
  </w:style>
  <w:style w:type="paragraph" w:styleId="TOC7">
    <w:name w:val="toc 7"/>
    <w:basedOn w:val="TOC1"/>
    <w:pPr/>
    <w:rPr/>
  </w:style>
  <w:style w:type="paragraph" w:styleId="TOC8">
    <w:name w:val="toc 8"/>
    <w:basedOn w:val="TOC1"/>
    <w:pPr/>
    <w:rPr/>
  </w:style>
  <w:style w:type="paragraph" w:styleId="TOC9">
    <w:name w:val="toc 9"/>
    <w:basedOn w:val="TOC1"/>
    <w:pPr/>
    <w:rPr/>
  </w:style>
  <w:style w:type="paragraph" w:styleId="Schedules">
    <w:name w:val="Schedules"/>
    <w:basedOn w:val="BodyText"/>
    <w:qFormat/>
    <w:pPr>
      <w:tabs>
        <w:tab w:val="clear" w:pos="720"/>
        <w:tab w:val="left" w:pos="2880" w:leader="none"/>
      </w:tabs>
      <w:spacing w:before="0" w:after="0"/>
      <w:ind w:hanging="2880" w:start="2880" w:end="0"/>
    </w:pPr>
    <w:rPr/>
  </w:style>
  <w:style w:type="paragraph" w:styleId="FlushLeft">
    <w:name w:val="Flush Left"/>
    <w:basedOn w:val="BodyText"/>
    <w:qFormat/>
    <w:pPr>
      <w:ind w:hanging="0" w:start="0" w:end="0"/>
    </w:pPr>
    <w:rPr/>
  </w:style>
  <w:style w:type="paragraph" w:styleId="ARTICLE">
    <w:name w:val="ARTICLE"/>
    <w:basedOn w:val="Heading1"/>
    <w:next w:val="Normal"/>
    <w:qFormat/>
    <w:pPr>
      <w:numPr>
        <w:ilvl w:val="0"/>
        <w:numId w:val="12"/>
      </w:numPr>
      <w:jc w:val="center"/>
      <w:outlineLvl w:val="9"/>
    </w:pPr>
    <w:rPr/>
  </w:style>
  <w:style w:type="paragraph" w:styleId="Signature">
    <w:name w:val="Signature"/>
    <w:basedOn w:val="Normal"/>
    <w:pPr>
      <w:keepLines/>
      <w:tabs>
        <w:tab w:val="clear" w:pos="720"/>
        <w:tab w:val="left" w:pos="3960" w:leader="none"/>
        <w:tab w:val="left" w:pos="4680" w:leader="none"/>
        <w:tab w:val="left" w:pos="4860" w:leader="none"/>
        <w:tab w:val="right" w:pos="9180" w:leader="none"/>
      </w:tabs>
      <w:spacing w:before="0" w:after="480"/>
      <w:ind w:hanging="4320" w:start="3600" w:end="0"/>
    </w:pPr>
    <w:rPr/>
  </w:style>
  <w:style w:type="paragraph" w:styleId="Address">
    <w:name w:val="Address"/>
    <w:basedOn w:val="BodyText"/>
    <w:next w:val="Normal"/>
    <w:qFormat/>
    <w:pPr>
      <w:keepLines/>
      <w:ind w:hanging="0" w:start="2160" w:end="0"/>
    </w:pPr>
    <w:rPr/>
  </w:style>
  <w:style w:type="paragraph" w:styleId="Notice">
    <w:name w:val="Notice"/>
    <w:basedOn w:val="Normal"/>
    <w:next w:val="BodyText"/>
    <w:qFormat/>
    <w:pPr>
      <w:keepLines/>
      <w:spacing w:before="0" w:after="240"/>
      <w:ind w:hanging="0" w:start="4320" w:end="0"/>
    </w:pPr>
    <w:rPr/>
  </w:style>
  <w:style w:type="paragraph" w:styleId="FootnoteText">
    <w:name w:val="footnote text"/>
    <w:basedOn w:val="Normal"/>
    <w:pPr>
      <w:spacing w:before="0" w:after="240"/>
    </w:pPr>
    <w:rPr/>
  </w:style>
  <w:style w:type="paragraph" w:styleId="timesnewroman">
    <w:name w:val="times new roman"/>
    <w:basedOn w:val="Normal"/>
    <w:qFormat/>
    <w:pPr/>
    <w:rPr>
      <w:rFonts w:ascii="Arial" w:hAnsi="Arial" w:cs="Arial"/>
      <w:color w:val="0000FF"/>
    </w:rPr>
  </w:style>
  <w:style w:type="paragraph" w:styleId="TDStandardtext">
    <w:name w:val="TD Standard text"/>
    <w:basedOn w:val="Normal"/>
    <w:qFormat/>
    <w:pPr>
      <w:widowControl w:val="false"/>
      <w:spacing w:before="240" w:after="0"/>
    </w:pPr>
    <w:rPr>
      <w:rFonts w:ascii="GoudyOlSt BT" w:hAnsi="GoudyOlSt BT" w:cs="GoudyOlSt BT"/>
    </w:rPr>
  </w:style>
  <w:style w:type="paragraph" w:styleId="TD1stlevelbullet">
    <w:name w:val="TD 1st level bullet"/>
    <w:basedOn w:val="TDStandardtext"/>
    <w:qFormat/>
    <w:pPr>
      <w:numPr>
        <w:ilvl w:val="0"/>
        <w:numId w:val="25"/>
      </w:numPr>
      <w:tabs>
        <w:tab w:val="clear" w:pos="720"/>
        <w:tab w:val="left" w:pos="86" w:leader="none"/>
      </w:tabs>
      <w:spacing w:before="120" w:after="0"/>
      <w:ind w:hanging="274" w:start="0" w:end="0"/>
    </w:pPr>
    <w:rPr/>
  </w:style>
  <w:style w:type="paragraph" w:styleId="TD2ndlevelbullet">
    <w:name w:val="TD 2nd level bullet"/>
    <w:basedOn w:val="TD1stlevelbullet"/>
    <w:qFormat/>
    <w:pPr>
      <w:numPr>
        <w:ilvl w:val="0"/>
        <w:numId w:val="26"/>
      </w:numPr>
      <w:tabs>
        <w:tab w:val="left" w:pos="86" w:leader="none"/>
        <w:tab w:val="left" w:pos="360" w:leader="none"/>
      </w:tabs>
      <w:ind w:hanging="274" w:start="274" w:end="0"/>
    </w:pPr>
    <w:rPr/>
  </w:style>
  <w:style w:type="paragraph" w:styleId="TDSubheading">
    <w:name w:val="TD Subheading"/>
    <w:basedOn w:val="TDStandardtext"/>
    <w:next w:val="TDStandardtext"/>
    <w:qFormat/>
    <w:pPr>
      <w:spacing w:before="480" w:after="0"/>
    </w:pPr>
    <w:rPr>
      <w:b/>
      <w:i/>
    </w:rPr>
  </w:style>
  <w:style w:type="paragraph" w:styleId="TDAuto-numberedsubheading">
    <w:name w:val="TD Auto-numbered subheading"/>
    <w:basedOn w:val="TDSubheading"/>
    <w:next w:val="TDStandardtext"/>
    <w:qFormat/>
    <w:pPr>
      <w:numPr>
        <w:ilvl w:val="0"/>
        <w:numId w:val="27"/>
      </w:numPr>
      <w:tabs>
        <w:tab w:val="clear" w:pos="720"/>
        <w:tab w:val="left" w:pos="86" w:leader="none"/>
      </w:tabs>
      <w:ind w:hanging="274" w:start="0" w:end="0"/>
    </w:pPr>
    <w:rPr/>
  </w:style>
  <w:style w:type="paragraph" w:styleId="TDConclusion">
    <w:name w:val="TD Conclusion"/>
    <w:basedOn w:val="TDStandardtext"/>
    <w:next w:val="TDStandardtext"/>
    <w:qFormat/>
    <w:pPr>
      <w:spacing w:before="480" w:after="0"/>
    </w:pPr>
    <w:rPr>
      <w:b/>
      <w:i/>
      <w:sz w:val="36"/>
    </w:rPr>
  </w:style>
  <w:style w:type="paragraph" w:styleId="TDHeadline">
    <w:name w:val="TD Headline"/>
    <w:basedOn w:val="TDStandardtext"/>
    <w:next w:val="TDStandardtext"/>
    <w:qFormat/>
    <w:pPr>
      <w:spacing w:before="0" w:after="360"/>
    </w:pPr>
    <w:rPr>
      <w:b/>
      <w:color w:val="008000"/>
      <w:sz w:val="48"/>
    </w:rPr>
  </w:style>
  <w:style w:type="paragraph" w:styleId="TDPagenumber">
    <w:name w:val="TD Page number"/>
    <w:basedOn w:val="TDStandardtext"/>
    <w:qFormat/>
    <w:pPr>
      <w:tabs>
        <w:tab w:val="clear" w:pos="720"/>
        <w:tab w:val="center" w:pos="3240" w:leader="none"/>
        <w:tab w:val="right" w:pos="10800" w:leader="none"/>
      </w:tabs>
      <w:spacing w:before="0" w:after="0"/>
      <w:jc w:val="end"/>
    </w:pPr>
    <w:rPr>
      <w:b/>
    </w:rPr>
  </w:style>
  <w:style w:type="paragraph" w:styleId="TDSectiontitle">
    <w:name w:val="TD Section title"/>
    <w:basedOn w:val="TDStandardtext"/>
    <w:next w:val="TDStandardtext"/>
    <w:qFormat/>
    <w:pPr>
      <w:spacing w:before="60" w:after="240"/>
    </w:pPr>
    <w:rPr>
      <w:color w:val="808000"/>
      <w:sz w:val="36"/>
    </w:rPr>
  </w:style>
  <w:style w:type="paragraph" w:styleId="TDTablecategoriesleftcolumn">
    <w:name w:val="TD Table categories (left column)"/>
    <w:basedOn w:val="TDStandardtext"/>
    <w:qFormat/>
    <w:pPr>
      <w:spacing w:before="120" w:after="60"/>
    </w:pPr>
    <w:rPr/>
  </w:style>
  <w:style w:type="paragraph" w:styleId="TDTablefigures">
    <w:name w:val="TD Table figures"/>
    <w:basedOn w:val="TDStandardtext"/>
    <w:qFormat/>
    <w:pPr>
      <w:spacing w:before="120" w:after="60"/>
      <w:ind w:hanging="0" w:start="0" w:end="144"/>
    </w:pPr>
    <w:rPr/>
  </w:style>
  <w:style w:type="paragraph" w:styleId="TDTableheading">
    <w:name w:val="TD Table heading"/>
    <w:basedOn w:val="TDStandardtext"/>
    <w:next w:val="TDTablefigures"/>
    <w:qFormat/>
    <w:pPr>
      <w:spacing w:before="120" w:after="60"/>
    </w:pPr>
    <w:rPr>
      <w:b/>
      <w:smallCaps/>
    </w:rPr>
  </w:style>
  <w:style w:type="paragraph" w:styleId="TDTabletitle">
    <w:name w:val="TD Table title"/>
    <w:basedOn w:val="TDStandardtext"/>
    <w:qFormat/>
    <w:pPr>
      <w:spacing w:before="360" w:after="60"/>
    </w:pPr>
    <w:rPr>
      <w:b/>
    </w:rPr>
  </w:style>
  <w:style w:type="paragraph" w:styleId="Side">
    <w:name w:val="Side"/>
    <w:basedOn w:val="Heading3"/>
    <w:qFormat/>
    <w:pPr>
      <w:keepNext w:val="true"/>
      <w:widowControl w:val="false"/>
      <w:numPr>
        <w:ilvl w:val="0"/>
        <w:numId w:val="12"/>
      </w:numPr>
      <w:spacing w:before="120" w:after="0"/>
      <w:ind w:hanging="0" w:start="1800" w:end="0"/>
      <w:outlineLvl w:val="9"/>
    </w:pPr>
    <w:rPr/>
  </w:style>
  <w:style w:type="paragraph" w:styleId="BodyTextIndent2">
    <w:name w:val="Body Text Indent 2"/>
    <w:basedOn w:val="Normal"/>
    <w:qFormat/>
    <w:pPr>
      <w:tabs>
        <w:tab w:val="left" w:pos="720" w:leader="none"/>
      </w:tabs>
      <w:ind w:hanging="720" w:start="720" w:end="0"/>
    </w:pPr>
    <w:rPr>
      <w:rFonts w:ascii="GoudyOlSt BT" w:hAnsi="GoudyOlSt BT" w:cs="GoudyOlSt BT"/>
      <w:sz w:val="22"/>
    </w:rPr>
  </w:style>
  <w:style w:type="paragraph" w:styleId="Heading11">
    <w:name w:val="_Heading 1"/>
    <w:basedOn w:val="Normal"/>
    <w:qFormat/>
    <w:pPr>
      <w:spacing w:before="0" w:after="240"/>
    </w:pPr>
    <w:rPr>
      <w:b/>
    </w:rPr>
  </w:style>
  <w:style w:type="paragraph" w:styleId="Heading21">
    <w:name w:val="_Heading 2"/>
    <w:basedOn w:val="Normal"/>
    <w:qFormat/>
    <w:pPr>
      <w:spacing w:before="0" w:after="240"/>
      <w:ind w:hanging="720" w:start="1440" w:end="0"/>
    </w:pPr>
    <w:rPr/>
  </w:style>
  <w:style w:type="paragraph" w:styleId="Heading31">
    <w:name w:val="_Heading 3"/>
    <w:basedOn w:val="Normal"/>
    <w:qFormat/>
    <w:pPr>
      <w:spacing w:before="0" w:after="240"/>
      <w:ind w:hanging="720" w:start="2160" w:end="0"/>
    </w:pPr>
    <w:rPr/>
  </w:style>
  <w:style w:type="paragraph" w:styleId="Heading41">
    <w:name w:val="_Heading 4"/>
    <w:basedOn w:val="Normal"/>
    <w:qFormat/>
    <w:pPr>
      <w:ind w:hanging="720" w:start="2880" w:end="0"/>
    </w:pPr>
    <w:rPr/>
  </w:style>
  <w:style w:type="paragraph" w:styleId="BodyTextIndent">
    <w:name w:val="_Body Text Indent"/>
    <w:basedOn w:val="Normal"/>
    <w:qFormat/>
    <w:pPr>
      <w:spacing w:before="0" w:after="240"/>
      <w:ind w:hanging="0" w:start="1800" w:end="0"/>
    </w:pPr>
    <w:rPr/>
  </w:style>
  <w:style w:type="paragraph" w:styleId="Numlist">
    <w:name w:val="_Numlist"/>
    <w:basedOn w:val="Normal"/>
    <w:qFormat/>
    <w:pPr>
      <w:spacing w:before="0" w:after="240"/>
      <w:ind w:hanging="360" w:start="2160" w:end="0"/>
    </w:pPr>
    <w:rPr/>
  </w:style>
  <w:style w:type="paragraph" w:styleId="Definition">
    <w:name w:val="_Definition"/>
    <w:basedOn w:val="Normal"/>
    <w:qFormat/>
    <w:pPr>
      <w:spacing w:before="0" w:after="240"/>
      <w:ind w:firstLine="1440" w:start="0" w:end="0"/>
    </w:pPr>
    <w:rPr/>
  </w:style>
  <w:style w:type="paragraph" w:styleId="table">
    <w:name w:val="_table"/>
    <w:basedOn w:val="Normal"/>
    <w:qFormat/>
    <w:pPr/>
    <w:rPr/>
  </w:style>
  <w:style w:type="paragraph" w:styleId="CommentText">
    <w:name w:val="Comment Text"/>
    <w:basedOn w:val="Normal"/>
    <w:qFormat/>
    <w:pPr/>
    <w:rPr>
      <w:sz w:val="20"/>
    </w:rPr>
  </w:style>
  <w:style w:type="paragraph" w:styleId="Para">
    <w:name w:val="Para"/>
    <w:basedOn w:val="Normal"/>
    <w:qFormat/>
    <w:pPr>
      <w:spacing w:before="0" w:after="240"/>
    </w:pPr>
    <w:rPr>
      <w:sz w:val="20"/>
    </w:rPr>
  </w:style>
  <w:style w:type="paragraph" w:styleId="para1">
    <w:name w:val="_para"/>
    <w:basedOn w:val="Normal"/>
    <w:qFormat/>
    <w:pPr>
      <w:spacing w:before="0" w:after="240"/>
      <w:ind w:firstLine="1440" w:start="0" w:end="0"/>
    </w:pPr>
    <w:rPr/>
  </w:style>
  <w:style w:type="paragraph" w:styleId="EndnoteText">
    <w:name w:val="endnote text"/>
    <w:basedOn w:val="Normal"/>
    <w:pPr/>
    <w:rPr>
      <w:sz w:val="20"/>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spacing w:before="0" w:after="120"/>
      <w:ind w:firstLine="210" w:start="0" w:end="0"/>
    </w:pPr>
    <w:rPr/>
  </w:style>
  <w:style w:type="paragraph" w:styleId="BodyTextIndent1">
    <w:name w:val="Body Text Indent"/>
    <w:basedOn w:val="Normal"/>
    <w:pPr>
      <w:spacing w:before="0" w:after="120"/>
      <w:ind w:hanging="0" w:start="360" w:end="0"/>
    </w:pPr>
    <w:rPr/>
  </w:style>
  <w:style w:type="paragraph" w:styleId="BodyTextFirstIndent2">
    <w:name w:val="Body Text First Indent 2"/>
    <w:basedOn w:val="BodyTextIndent1"/>
    <w:qFormat/>
    <w:pPr>
      <w:ind w:firstLine="21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Corporate Agreement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2002-01-07T19:12:00Z</dcterms:created>
  <dc:creator>COAOE</dc:creator>
  <dc:description/>
  <dc:language>en-CA</dc:language>
  <cp:lastModifiedBy>Gilligan, Michael E.</cp:lastModifiedBy>
  <cp:lastPrinted>2002-01-07T16:39:00Z</cp:lastPrinted>
  <dcterms:modified xsi:type="dcterms:W3CDTF">2002-01-07T19:12:00Z</dcterms:modified>
  <cp:revision>2</cp:revision>
  <dc:subject>This document converted from Op Document codck/dana/02275.013/96docs/apa.exe on 5/21/98</dc:subject>
  <dc:title>Enron APA (Working Draft)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W/617292v6</vt:lpwstr>
  </property>
</Properties>
</file>