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sz w:val="28"/>
        </w:rPr>
      </w:pPr>
      <w:r>
        <w:rPr>
          <w:rFonts w:cs="Arial Narrow" w:ascii="Arial Narrow" w:hAnsi="Arial Narrow"/>
          <w:sz w:val="28"/>
        </w:rPr>
      </w:r>
    </w:p>
    <w:p>
      <w:pPr>
        <w:pStyle w:val="Heading"/>
        <w:rPr>
          <w:rFonts w:ascii="Arial Narrow" w:hAnsi="Arial Narrow" w:cs="Arial Narrow"/>
          <w:sz w:val="28"/>
        </w:rPr>
      </w:pPr>
      <w:r>
        <w:rPr>
          <w:rFonts w:cs="Arial Narrow" w:ascii="Arial Narrow" w:hAnsi="Arial Narrow"/>
          <w:sz w:val="28"/>
        </w:rPr>
      </w:r>
    </w:p>
    <w:p>
      <w:pPr>
        <w:pStyle w:val="Heading"/>
        <w:rPr>
          <w:rFonts w:ascii="Arial Narrow" w:hAnsi="Arial Narrow" w:cs="Arial Narrow"/>
          <w:sz w:val="28"/>
        </w:rPr>
      </w:pPr>
      <w:r>
        <w:rPr>
          <w:rFonts w:cs="Arial Narrow" w:ascii="Arial Narrow" w:hAnsi="Arial Narrow"/>
          <w:sz w:val="28"/>
        </w:rPr>
      </w:r>
    </w:p>
    <w:p>
      <w:pPr>
        <w:pStyle w:val="Heading"/>
        <w:rPr>
          <w:rFonts w:ascii="Arial Narrow" w:hAnsi="Arial Narrow" w:cs="Arial Narrow"/>
          <w:sz w:val="28"/>
        </w:rPr>
      </w:pPr>
      <w:r>
        <w:rPr>
          <w:rFonts w:cs="Arial Narrow" w:ascii="Arial Narrow" w:hAnsi="Arial Narrow"/>
          <w:sz w:val="28"/>
        </w:rPr>
        <w:t>AGREEMENT IN PRINCIPLE</w:t>
      </w:r>
    </w:p>
    <w:p>
      <w:pPr>
        <w:pStyle w:val="Heading"/>
        <w:jc w:val="start"/>
        <w:rPr>
          <w:rFonts w:ascii="Arial Narrow" w:hAnsi="Arial Narrow" w:cs="Arial Narrow"/>
          <w:sz w:val="22"/>
        </w:rPr>
      </w:pPr>
      <w:r>
        <w:rPr>
          <w:rFonts w:cs="Arial Narrow" w:ascii="Arial Narrow" w:hAnsi="Arial Narrow"/>
          <w:sz w:val="22"/>
        </w:rPr>
      </w:r>
    </w:p>
    <w:p>
      <w:pPr>
        <w:pStyle w:val="BodyText"/>
        <w:rPr>
          <w:rFonts w:ascii="Arial Narrow" w:hAnsi="Arial Narrow" w:cs="Arial Narrow"/>
        </w:rPr>
      </w:pPr>
      <w:r>
        <w:rPr>
          <w:rFonts w:cs="Arial Narrow" w:ascii="Arial Narrow" w:hAnsi="Arial Narrow"/>
        </w:rPr>
        <w:t xml:space="preserve">Enron North America Corp (“Enron”), or its credit worthy assignee, agrees in principle to purchase four  LM6000 Sprint gas turbine generator sets (“Units 25-28” or the “Equipment”) for projects in North or South America (the “Projects”) from GE Packaged Power, Inc. (referred to as “GE Aero Energy Products” or “GE”).  The scope of supply and general terms and conditions of sale for this Agreement in Principle, including payment and termination terms, are set out in the GE proposal TG00-6000-0171, Rev.3, dated February 27, 2001.   The selling price for each of the Equipment including options marked “I” shall be $ 15,678,000, ready to ship from the factory.  </w:t>
      </w:r>
    </w:p>
    <w:p>
      <w:pPr>
        <w:pStyle w:val="Normal"/>
        <w:spacing w:lineRule="auto" w:line="360"/>
        <w:jc w:val="both"/>
        <w:rPr>
          <w:rFonts w:ascii="Arial Narrow" w:hAnsi="Arial Narrow" w:cs="Arial Narrow"/>
          <w:sz w:val="18"/>
        </w:rPr>
      </w:pPr>
      <w:r>
        <w:rPr>
          <w:rFonts w:cs="Arial Narrow" w:ascii="Arial Narrow" w:hAnsi="Arial Narrow"/>
          <w:sz w:val="18"/>
        </w:rPr>
      </w:r>
    </w:p>
    <w:p>
      <w:pPr>
        <w:pStyle w:val="Normal"/>
        <w:spacing w:lineRule="auto" w:line="360"/>
        <w:jc w:val="both"/>
        <w:rPr>
          <w:rFonts w:ascii="Arial Narrow" w:hAnsi="Arial Narrow" w:cs="Arial Narrow"/>
        </w:rPr>
      </w:pPr>
      <w:r>
        <w:rPr>
          <w:rFonts w:cs="Arial Narrow" w:ascii="Arial Narrow" w:hAnsi="Arial Narrow"/>
        </w:rPr>
        <w:t xml:space="preserve">It is anticipated that a reservation fee of $ 3,135,600  will be paid by Enron to GE by or on February28, 2001 (the “Reservation Fee”).  If the Reservation Fee or subsequent payments are delayed by Enron, the selling price shall be adjusted to reflect the cost of money and GE will advise Enron of the next available shipment date at the time the payment is made current. </w:t>
      </w:r>
    </w:p>
    <w:p>
      <w:pPr>
        <w:pStyle w:val="Normal"/>
        <w:spacing w:lineRule="auto" w:line="360"/>
        <w:jc w:val="both"/>
        <w:rPr>
          <w:rFonts w:ascii="Arial Narrow" w:hAnsi="Arial Narrow" w:cs="Arial Narrow"/>
          <w:sz w:val="18"/>
        </w:rPr>
      </w:pPr>
      <w:r>
        <w:rPr>
          <w:rFonts w:cs="Arial Narrow" w:ascii="Arial Narrow" w:hAnsi="Arial Narrow"/>
          <w:sz w:val="18"/>
        </w:rPr>
      </w:r>
    </w:p>
    <w:p>
      <w:pPr>
        <w:pStyle w:val="Normal"/>
        <w:spacing w:lineRule="auto" w:line="360"/>
        <w:jc w:val="both"/>
        <w:rPr>
          <w:rFonts w:ascii="Arial Narrow" w:hAnsi="Arial Narrow" w:cs="Arial Narrow"/>
        </w:rPr>
      </w:pPr>
      <w:r>
        <w:rPr>
          <w:rFonts w:cs="Arial Narrow" w:ascii="Arial Narrow" w:hAnsi="Arial Narrow"/>
        </w:rPr>
        <w:t>GE will build the Equipment specified in the proposal and be ready to ship and transfer title to the Units as follows (the “Shipment Schedule”):</w:t>
      </w:r>
    </w:p>
    <w:p>
      <w:pPr>
        <w:pStyle w:val="Normal"/>
        <w:spacing w:lineRule="auto" w:line="360"/>
        <w:jc w:val="both"/>
        <w:rPr>
          <w:rFonts w:ascii="Arial Narrow" w:hAnsi="Arial Narrow" w:cs="Arial Narrow"/>
        </w:rPr>
      </w:pPr>
      <w:r>
        <w:rPr>
          <w:rFonts w:cs="Arial Narrow" w:ascii="Arial Narrow" w:hAnsi="Arial Narrow"/>
        </w:rPr>
      </w:r>
    </w:p>
    <w:p>
      <w:pPr>
        <w:pStyle w:val="Normal"/>
        <w:spacing w:lineRule="auto" w:line="360"/>
        <w:ind w:firstLine="720" w:end="0"/>
        <w:jc w:val="both"/>
        <w:rPr>
          <w:rFonts w:ascii="Arial Narrow" w:hAnsi="Arial Narrow" w:cs="Arial Narrow"/>
        </w:rPr>
      </w:pPr>
      <w:r>
        <w:rPr>
          <w:rFonts w:cs="Arial Narrow" w:ascii="Arial Narrow" w:hAnsi="Arial Narrow"/>
        </w:rPr>
        <w:t xml:space="preserve">Units  # 25, 26, 27, 28 </w:t>
        <w:tab/>
        <w:t>during 1 December 2001 through 28 February,  2002</w:t>
      </w:r>
    </w:p>
    <w:p>
      <w:pPr>
        <w:pStyle w:val="Normal"/>
        <w:spacing w:lineRule="auto" w:line="360"/>
        <w:ind w:firstLine="720" w:start="2160" w:end="0"/>
        <w:jc w:val="both"/>
        <w:rPr>
          <w:rFonts w:ascii="Arial Narrow" w:hAnsi="Arial Narrow" w:eastAsia="Arial Narrow" w:cs="Arial Narrow"/>
        </w:rPr>
      </w:pPr>
      <w:r>
        <w:rPr>
          <w:rFonts w:eastAsia="Arial Narrow" w:cs="Arial Narrow" w:ascii="Arial Narrow" w:hAnsi="Arial Narrow"/>
        </w:rPr>
        <w:t xml:space="preserve"> </w:t>
      </w:r>
    </w:p>
    <w:p>
      <w:pPr>
        <w:pStyle w:val="Normal"/>
        <w:spacing w:lineRule="auto" w:line="360"/>
        <w:jc w:val="both"/>
        <w:rPr>
          <w:rFonts w:ascii="Arial Narrow" w:hAnsi="Arial Narrow" w:cs="Arial Narrow"/>
        </w:rPr>
      </w:pPr>
      <w:r>
        <w:rPr>
          <w:rFonts w:cs="Arial Narrow" w:ascii="Arial Narrow" w:hAnsi="Arial Narrow"/>
        </w:rPr>
      </w:r>
    </w:p>
    <w:p>
      <w:pPr>
        <w:pStyle w:val="Normal"/>
        <w:spacing w:lineRule="auto" w:line="360"/>
        <w:jc w:val="both"/>
        <w:rPr/>
      </w:pPr>
      <w:r>
        <w:rPr/>
        <w:t xml:space="preserve">Payment of the Reservation Fee by Enron will serve to reserve the Shipment Schedule in advance of the execution of detailed contract documents to be negotiated in good faith and mutually agreed upon. The terms and conditions of such detailed contract documents will be the terms and conditions of the Purchase Agreement between Westduetsche Landesbank Girozentrale New York Branch, Enron and GE dated May 12, 2000 for Units 1-24, with such modifications as the parties may mutually agree.  It is the intention of Enron and GE to complete negotiations of the detailed contract documents by March 30, 2001.  </w:t>
      </w:r>
    </w:p>
    <w:p>
      <w:pPr>
        <w:pStyle w:val="Normal"/>
        <w:spacing w:lineRule="auto" w:line="360"/>
        <w:jc w:val="both"/>
        <w:rPr/>
      </w:pPr>
      <w:r>
        <w:rPr/>
      </w:r>
    </w:p>
    <w:p>
      <w:pPr>
        <w:pStyle w:val="Normal"/>
        <w:spacing w:lineRule="auto" w:line="360"/>
        <w:jc w:val="both"/>
        <w:rPr/>
      </w:pPr>
      <w:r>
        <w:rPr/>
      </w:r>
    </w:p>
    <w:p>
      <w:pPr>
        <w:pStyle w:val="Normal"/>
        <w:rPr>
          <w:rFonts w:ascii="Arial Narrow" w:hAnsi="Arial Narrow" w:cs="Arial Narrow"/>
          <w:sz w:val="16"/>
        </w:rPr>
      </w:pPr>
      <w:r>
        <w:rPr>
          <w:rFonts w:cs="Arial Narrow" w:ascii="Arial Narrow" w:hAnsi="Arial Narrow"/>
          <w:sz w:val="16"/>
        </w:rPr>
        <w:t>ENRON North America / GE Proposal TG-6000-0171 Rev. 3/ February 27, 2001</w:t>
        <w:tab/>
        <w:tab/>
        <w:tab/>
        <w:tab/>
        <w:tab/>
        <w:tab/>
        <w:t>Page 1 of 2</w:t>
      </w:r>
    </w:p>
    <w:p>
      <w:pPr>
        <w:pStyle w:val="Normal"/>
        <w:spacing w:lineRule="auto" w:line="360"/>
        <w:jc w:val="both"/>
        <w:rPr>
          <w:rFonts w:ascii="Arial Narrow" w:hAnsi="Arial Narrow" w:cs="Arial Narrow"/>
          <w:sz w:val="16"/>
        </w:rPr>
      </w:pPr>
      <w:r>
        <w:rPr>
          <w:rFonts w:cs="Arial Narrow" w:ascii="Arial Narrow" w:hAnsi="Arial Narrow"/>
          <w:sz w:val="16"/>
        </w:rPr>
      </w:r>
    </w:p>
    <w:p>
      <w:pPr>
        <w:pStyle w:val="Normal"/>
        <w:spacing w:lineRule="auto" w:line="360"/>
        <w:jc w:val="both"/>
        <w:rPr/>
      </w:pPr>
      <w:r>
        <w:rPr/>
        <w:t xml:space="preserve">GE hereby acknowledges that Enron anticipates financing the purchase price of the Equipment through a lease transaction. In such circumstance, a lessor designated by Enron would be the signatory to the detailed contract documents and the Reservation Fee may be refunded to Enron and replaced with funding from the lease transaction. </w:t>
      </w:r>
    </w:p>
    <w:p>
      <w:pPr>
        <w:pStyle w:val="Normal"/>
        <w:spacing w:lineRule="auto" w:line="360"/>
        <w:jc w:val="both"/>
        <w:rPr/>
      </w:pPr>
      <w:r>
        <w:rPr/>
      </w:r>
    </w:p>
    <w:p>
      <w:pPr>
        <w:pStyle w:val="Normal"/>
        <w:spacing w:lineRule="auto" w:line="360"/>
        <w:jc w:val="both"/>
        <w:rPr/>
      </w:pPr>
      <w:r>
        <w:rPr/>
        <w:t xml:space="preserve">Enron will not offer to sell its rights to purchase this Equipment without the written consent of GE.  GE shall have the right to repurchase the Equipment at the original selling price prior to providing such consent.  </w:t>
      </w:r>
    </w:p>
    <w:p>
      <w:pPr>
        <w:pStyle w:val="Normal"/>
        <w:spacing w:lineRule="auto" w:line="360"/>
        <w:jc w:val="both"/>
        <w:rPr/>
      </w:pPr>
      <w:r>
        <w:rPr/>
      </w:r>
    </w:p>
    <w:p>
      <w:pPr>
        <w:pStyle w:val="Normal"/>
        <w:spacing w:lineRule="auto" w:line="360"/>
        <w:jc w:val="both"/>
        <w:rPr/>
      </w:pPr>
      <w:r>
        <w:rPr/>
        <w:t xml:space="preserve">Enron may terminate this agreement prior to March 21, 2001 by sending a notice of termination to GE.  In this event, GE will promptly refund the Reservation Fee less $ 500,000.  If Enron desires to terminate after March 21, 2001, then the termination schedule in the proposal shall apply. </w:t>
      </w:r>
    </w:p>
    <w:p>
      <w:pPr>
        <w:pStyle w:val="BodyText"/>
        <w:rPr>
          <w:rFonts w:ascii="Arial Narrow" w:hAnsi="Arial Narrow" w:cs="Arial Narrow"/>
        </w:rPr>
      </w:pPr>
      <w:r>
        <w:rPr>
          <w:rFonts w:cs="Arial Narrow" w:ascii="Arial Narrow" w:hAnsi="Arial Narrow"/>
        </w:rPr>
      </w:r>
    </w:p>
    <w:p>
      <w:pPr>
        <w:pStyle w:val="BodyText"/>
        <w:rPr>
          <w:rFonts w:ascii="Arial Narrow" w:hAnsi="Arial Narrow" w:cs="Arial Narrow"/>
        </w:rPr>
      </w:pPr>
      <w:r>
        <w:rPr>
          <w:rFonts w:cs="Arial Narrow" w:ascii="Arial Narrow" w:hAnsi="Arial Narrow"/>
        </w:rPr>
      </w:r>
    </w:p>
    <w:p>
      <w:pPr>
        <w:pStyle w:val="Heading5"/>
        <w:tabs>
          <w:tab w:val="clear" w:pos="4680"/>
          <w:tab w:val="left" w:pos="5220" w:leader="none"/>
        </w:tabs>
        <w:ind w:hanging="0" w:start="0"/>
        <w:rPr>
          <w:rFonts w:ascii="Arial Narrow" w:hAnsi="Arial Narrow" w:cs="Arial Narrow"/>
        </w:rPr>
      </w:pPr>
      <w:r>
        <w:rPr>
          <w:rFonts w:cs="Arial Narrow" w:ascii="Arial Narrow" w:hAnsi="Arial Narrow"/>
        </w:rPr>
      </w:r>
    </w:p>
    <w:p>
      <w:pPr>
        <w:pStyle w:val="Heading5"/>
        <w:tabs>
          <w:tab w:val="clear" w:pos="4680"/>
          <w:tab w:val="left" w:pos="5220" w:leader="none"/>
        </w:tabs>
        <w:ind w:hanging="0" w:start="0"/>
        <w:rPr>
          <w:rFonts w:ascii="Arial Narrow" w:hAnsi="Arial Narrow" w:cs="Arial Narrow"/>
        </w:rPr>
      </w:pPr>
      <w:r>
        <w:rPr>
          <w:rFonts w:cs="Arial Narrow" w:ascii="Arial Narrow" w:hAnsi="Arial Narrow"/>
        </w:rPr>
        <w:t>ENRON NORTH AMERICA CORP.</w:t>
        <w:tab/>
        <w:t>GE PACKAGED POWER, INC.</w:t>
      </w:r>
    </w:p>
    <w:p>
      <w:pPr>
        <w:pStyle w:val="Normal"/>
        <w:rPr>
          <w:rFonts w:ascii="Arial Narrow" w:hAnsi="Arial Narrow" w:cs="Arial Narrow"/>
        </w:rPr>
      </w:pPr>
      <w:r>
        <w:rPr>
          <w:rFonts w:cs="Arial Narrow" w:ascii="Arial Narrow" w:hAnsi="Arial Narrow"/>
        </w:rPr>
      </w:r>
    </w:p>
    <w:p>
      <w:pPr>
        <w:pStyle w:val="Heading5"/>
        <w:tabs>
          <w:tab w:val="clear" w:pos="4680"/>
          <w:tab w:val="left" w:pos="4230" w:leader="none"/>
          <w:tab w:val="left" w:pos="5220" w:leader="none"/>
          <w:tab w:val="left" w:pos="9180" w:leader="none"/>
        </w:tabs>
        <w:ind w:hanging="0" w:start="0"/>
        <w:rPr>
          <w:rFonts w:ascii="Arial Narrow" w:hAnsi="Arial Narrow" w:cs="Arial Narrow"/>
        </w:rPr>
      </w:pPr>
      <w:r>
        <w:rPr>
          <w:rFonts w:cs="Arial Narrow" w:ascii="Arial Narrow" w:hAnsi="Arial Narrow"/>
        </w:rPr>
      </w:r>
    </w:p>
    <w:p>
      <w:pPr>
        <w:pStyle w:val="Heading5"/>
        <w:tabs>
          <w:tab w:val="clear" w:pos="4680"/>
          <w:tab w:val="left" w:pos="4230" w:leader="none"/>
          <w:tab w:val="left" w:pos="5220" w:leader="none"/>
          <w:tab w:val="left" w:pos="9180" w:leader="none"/>
        </w:tabs>
        <w:ind w:hanging="0" w:start="0"/>
        <w:rPr/>
      </w:pPr>
      <w:r>
        <w:rPr>
          <w:rFonts w:cs="Arial Narrow" w:ascii="Arial Narrow" w:hAnsi="Arial Narrow"/>
        </w:rPr>
        <w:t xml:space="preserve">By:  </w:t>
      </w:r>
      <w:r>
        <w:rPr>
          <w:rFonts w:cs="Arial Narrow" w:ascii="Arial Narrow" w:hAnsi="Arial Narrow"/>
          <w:u w:val="single"/>
        </w:rPr>
        <w:tab/>
      </w:r>
      <w:r>
        <w:rPr>
          <w:rFonts w:cs="Arial Narrow" w:ascii="Arial Narrow" w:hAnsi="Arial Narrow"/>
        </w:rPr>
        <w:tab/>
        <w:t xml:space="preserve">By: </w:t>
      </w:r>
      <w:r>
        <w:rPr>
          <w:rFonts w:cs="Arial Narrow" w:ascii="Arial Narrow" w:hAnsi="Arial Narrow"/>
          <w:u w:val="single"/>
        </w:rPr>
        <w:tab/>
      </w:r>
    </w:p>
    <w:p>
      <w:pPr>
        <w:pStyle w:val="Normal"/>
        <w:rPr>
          <w:rFonts w:ascii="Arial Narrow" w:hAnsi="Arial Narrow" w:cs="Arial Narrow"/>
          <w:u w:val="single"/>
        </w:rPr>
      </w:pPr>
      <w:r>
        <w:rPr>
          <w:rFonts w:cs="Arial Narrow" w:ascii="Arial Narrow" w:hAnsi="Arial Narrow"/>
          <w:u w:val="single"/>
        </w:rPr>
      </w:r>
    </w:p>
    <w:p>
      <w:pPr>
        <w:pStyle w:val="Heading5"/>
        <w:tabs>
          <w:tab w:val="clear" w:pos="4680"/>
          <w:tab w:val="left" w:pos="4230" w:leader="none"/>
          <w:tab w:val="left" w:pos="5220" w:leader="none"/>
          <w:tab w:val="left" w:pos="9180" w:leader="none"/>
        </w:tabs>
        <w:ind w:hanging="0" w:start="0"/>
        <w:rPr>
          <w:rFonts w:ascii="Arial Narrow" w:hAnsi="Arial Narrow" w:cs="Arial Narrow"/>
        </w:rPr>
      </w:pPr>
      <w:r>
        <w:rPr>
          <w:rFonts w:cs="Arial Narrow" w:ascii="Arial Narrow" w:hAnsi="Arial Narrow"/>
        </w:rPr>
      </w:r>
    </w:p>
    <w:p>
      <w:pPr>
        <w:pStyle w:val="Heading5"/>
        <w:tabs>
          <w:tab w:val="clear" w:pos="4680"/>
          <w:tab w:val="left" w:pos="4230" w:leader="none"/>
          <w:tab w:val="left" w:pos="5220" w:leader="none"/>
          <w:tab w:val="left" w:pos="9180" w:leader="none"/>
        </w:tabs>
        <w:ind w:hanging="0" w:start="0"/>
        <w:rPr/>
      </w:pPr>
      <w:r>
        <w:rPr>
          <w:rFonts w:cs="Arial Narrow" w:ascii="Arial Narrow" w:hAnsi="Arial Narrow"/>
        </w:rPr>
        <w:t xml:space="preserve">Title: </w:t>
      </w:r>
      <w:r>
        <w:rPr>
          <w:rFonts w:cs="Arial Narrow" w:ascii="Arial Narrow" w:hAnsi="Arial Narrow"/>
          <w:u w:val="single"/>
        </w:rPr>
        <w:tab/>
      </w:r>
      <w:r>
        <w:rPr>
          <w:rFonts w:cs="Arial Narrow" w:ascii="Arial Narrow" w:hAnsi="Arial Narrow"/>
        </w:rPr>
        <w:tab/>
        <w:t xml:space="preserve">Title: </w:t>
      </w:r>
      <w:r>
        <w:rPr>
          <w:rFonts w:cs="Arial Narrow" w:ascii="Arial Narrow" w:hAnsi="Arial Narrow"/>
          <w:u w:val="single"/>
        </w:rPr>
        <w:tab/>
      </w:r>
    </w:p>
    <w:p>
      <w:pPr>
        <w:pStyle w:val="Normal"/>
        <w:rPr>
          <w:rFonts w:ascii="Arial Narrow" w:hAnsi="Arial Narrow" w:cs="Arial Narrow"/>
          <w:u w:val="single"/>
        </w:rPr>
      </w:pPr>
      <w:r>
        <w:rPr>
          <w:rFonts w:cs="Arial Narrow" w:ascii="Arial Narrow" w:hAnsi="Arial Narrow"/>
          <w:u w:val="single"/>
        </w:rPr>
      </w:r>
    </w:p>
    <w:p>
      <w:pPr>
        <w:pStyle w:val="Normal"/>
        <w:tabs>
          <w:tab w:val="clear" w:pos="720"/>
          <w:tab w:val="left" w:pos="4230" w:leader="none"/>
          <w:tab w:val="left" w:pos="5220" w:leader="none"/>
          <w:tab w:val="left" w:pos="9180" w:leader="none"/>
        </w:tabs>
        <w:rPr>
          <w:rFonts w:ascii="Arial Narrow" w:hAnsi="Arial Narrow" w:cs="Arial Narrow"/>
        </w:rPr>
      </w:pPr>
      <w:r>
        <w:rPr>
          <w:rFonts w:cs="Arial Narrow" w:ascii="Arial Narrow" w:hAnsi="Arial Narrow"/>
        </w:rPr>
      </w:r>
    </w:p>
    <w:p>
      <w:pPr>
        <w:pStyle w:val="Normal"/>
        <w:tabs>
          <w:tab w:val="clear" w:pos="720"/>
          <w:tab w:val="left" w:pos="4230" w:leader="none"/>
          <w:tab w:val="left" w:pos="5220" w:leader="none"/>
          <w:tab w:val="left" w:pos="9180" w:leader="none"/>
        </w:tabs>
        <w:rPr/>
      </w:pPr>
      <w:r>
        <w:rPr>
          <w:rFonts w:cs="Arial Narrow" w:ascii="Arial Narrow" w:hAnsi="Arial Narrow"/>
        </w:rPr>
        <w:t xml:space="preserve">Date:  </w:t>
      </w:r>
      <w:r>
        <w:rPr>
          <w:rFonts w:cs="Arial Narrow" w:ascii="Arial Narrow" w:hAnsi="Arial Narrow"/>
          <w:u w:val="single"/>
        </w:rPr>
        <w:tab/>
      </w:r>
      <w:r>
        <w:rPr>
          <w:rFonts w:cs="Arial Narrow" w:ascii="Arial Narrow" w:hAnsi="Arial Narrow"/>
        </w:rPr>
        <w:tab/>
        <w:t xml:space="preserve">Date: </w:t>
      </w:r>
      <w:r>
        <w:rPr>
          <w:rFonts w:cs="Arial Narrow" w:ascii="Arial Narrow" w:hAnsi="Arial Narrow"/>
          <w:u w:val="single"/>
        </w:rPr>
        <w:tab/>
      </w:r>
    </w:p>
    <w:p>
      <w:pPr>
        <w:pStyle w:val="Normal"/>
        <w:rPr>
          <w:rFonts w:ascii="Arial Narrow" w:hAnsi="Arial Narrow" w:cs="Arial Narrow"/>
          <w:sz w:val="36"/>
          <w:u w:val="single"/>
        </w:rPr>
      </w:pPr>
      <w:r>
        <w:rPr>
          <w:rFonts w:cs="Arial Narrow" w:ascii="Arial Narrow" w:hAnsi="Arial Narrow"/>
          <w:sz w:val="36"/>
          <w:u w:val="single"/>
        </w:rPr>
      </w:r>
    </w:p>
    <w:p>
      <w:pPr>
        <w:pStyle w:val="Normal"/>
        <w:rPr>
          <w:rFonts w:ascii="Arial Narrow" w:hAnsi="Arial Narrow" w:cs="Arial Narrow"/>
          <w:sz w:val="16"/>
        </w:rPr>
      </w:pPr>
      <w:r>
        <w:rPr>
          <w:rFonts w:cs="Arial Narrow" w:ascii="Arial Narrow" w:hAnsi="Arial Narrow"/>
          <w:sz w:val="16"/>
        </w:rPr>
        <w:t>ENRON North America / GE Proposal TG-6000-0171 Rev.3 / February 27, 2001</w:t>
        <w:tab/>
        <w:tab/>
        <w:tab/>
        <w:tab/>
        <w:tab/>
        <w:tab/>
        <w:t>Page 2 of 2</w:t>
      </w:r>
    </w:p>
    <w:sectPr>
      <w:footerReference w:type="default" r:id="rId2"/>
      <w:type w:val="nextPage"/>
      <w:pgSz w:w="12240" w:h="15840"/>
      <w:pgMar w:left="1440" w:right="1440" w:gutter="0" w:header="0" w:top="1080" w:footer="504" w:bottom="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14"/>
      </w:rPr>
    </w:pPr>
    <w:r>
      <w:rPr>
        <w:sz w:val="14"/>
      </w:rPr>
      <w:fldChar w:fldCharType="begin"/>
    </w:r>
    <w:r>
      <w:rPr>
        <w:sz w:val="14"/>
      </w:rPr>
      <w:instrText xml:space="preserve"> FILENAME </w:instrText>
    </w:r>
    <w:r>
      <w:rPr>
        <w:sz w:val="14"/>
      </w:rPr>
      <w:fldChar w:fldCharType="separate"/>
    </w:r>
    <w:r>
      <w:rPr>
        <w:sz w:val="14"/>
      </w:rPr>
      <w:t>Enron_AIP_27_Feb_01.doc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5">
    <w:name w:val="heading 5"/>
    <w:basedOn w:val="Normal"/>
    <w:next w:val="Normal"/>
    <w:qFormat/>
    <w:pPr>
      <w:keepNext w:val="true"/>
      <w:numPr>
        <w:ilvl w:val="4"/>
        <w:numId w:val="1"/>
      </w:numPr>
      <w:tabs>
        <w:tab w:val="clear" w:pos="720"/>
        <w:tab w:val="left" w:pos="4680" w:leader="none"/>
      </w:tabs>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3"/>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2001-02-26T20:50:00Z</dcterms:created>
  <dc:creator>Stewart &amp; Stevenson</dc:creator>
  <dc:description/>
  <dc:language>en-CA</dc:language>
  <cp:lastModifiedBy>GE</cp:lastModifiedBy>
  <cp:lastPrinted>2001-02-27T07:54:00Z</cp:lastPrinted>
  <dcterms:modified xsi:type="dcterms:W3CDTF">2001-02-27T13:45:00Z</dcterms:modified>
  <cp:revision>3</cp:revision>
  <dc:subject/>
  <dc:title>AGREEMENT IN PRINCIPLE</dc:title>
</cp:coreProperties>
</file>