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Via Fax: 713-646-3390</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ab/>
        <w:tab/>
        <w:tab/>
        <w:t>April 13, 2001</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Enron North America</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1400 Smith St.</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Houston, TX 77002</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ATTN: Theresa Branney</w:t>
      </w:r>
      <w:r>
        <w:fldChar w:fldCharType="begin">
          <w:ffData>
            <w:name w:val="Text1"/>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ind w:firstLine="720" w:end="0"/>
        <w:jc w:val="both"/>
        <w:rPr>
          <w:rFonts w:ascii="Arial" w:hAnsi="Arial" w:cs="Arial"/>
        </w:rPr>
      </w:pPr>
      <w:r>
        <w:rPr>
          <w:rFonts w:cs="Arial" w:ascii="Arial" w:hAnsi="Arial"/>
        </w:rPr>
        <w:t>Re:</w:t>
        <w:tab/>
        <w:t>Nominated Firm Storage Service Agreement Dated March 18, 1999</w:t>
      </w:r>
    </w:p>
    <w:p>
      <w:pPr>
        <w:pStyle w:val="Normal"/>
        <w:tabs>
          <w:tab w:val="left" w:pos="720" w:leader="none"/>
          <w:tab w:val="left" w:pos="1440" w:leader="none"/>
          <w:tab w:val="left" w:pos="2160" w:leader="none"/>
          <w:tab w:val="left" w:pos="5760" w:leader="none"/>
        </w:tabs>
        <w:ind w:firstLine="1440" w:end="0"/>
        <w:jc w:val="both"/>
        <w:rPr>
          <w:rFonts w:ascii="Arial" w:hAnsi="Arial" w:cs="Arial"/>
        </w:rPr>
      </w:pPr>
      <w:r>
        <w:rPr>
          <w:rFonts w:cs="Arial" w:ascii="Arial" w:hAnsi="Arial"/>
        </w:rPr>
        <w:t xml:space="preserve">Between   Enron North America (Shipper) and </w:t>
      </w:r>
    </w:p>
    <w:p>
      <w:pPr>
        <w:pStyle w:val="Normal"/>
        <w:tabs>
          <w:tab w:val="left" w:pos="720" w:leader="none"/>
          <w:tab w:val="left" w:pos="1440" w:leader="none"/>
          <w:tab w:val="left" w:pos="2160" w:leader="none"/>
          <w:tab w:val="left" w:pos="5760" w:leader="none"/>
        </w:tabs>
        <w:ind w:firstLine="1440" w:end="0"/>
        <w:jc w:val="both"/>
        <w:rPr/>
      </w:pPr>
      <w:r>
        <w:rPr>
          <w:rFonts w:cs="Arial" w:ascii="Arial" w:hAnsi="Arial"/>
        </w:rPr>
        <w:t>Natural Gas Pipeline Company of America (Natural)  Contract No. 114846</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Dear Ms Branney:</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The referenced NSS Agreement is scheduled to terminate on June 2, 2002.</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In accordance with Section 22.2, Rollovers, of the General Terms and Conditions of Natural's FERC Gas Tariff, any Shipper under Rate Schedule DSS, FTS, FSS, FTS-G or NSS who has entered into an Agreement with a term of three (3) years or longer shall have a unilateral right to continue receiving service on a firm basis beyond the term of the existing Agreement by means of a rollover Agreement.</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Shipper must give notice to Natural, at least twelve (12) months prior to the termination of its existing Agreement, of its desire to continue receiving service beyond the expiration date of the existing Agreement.  Such notice must be in a form specified by Natural (see attached form) and must indicate a desired term of service [which term must be at least three (3) years] and the desired MDQ, in total and at each primary point.  Such MDQ must be equal to or less than the existing MDQ in total and at each primary point and the primary point path under the request must not result in a rate reduction vis a vis the path in the existing Agreement.  Any request for an increase in MDQ in total or at any primary point shall be treated as a request for new service, but only to the extent of the increase.  Any notice specifying a decrease in MDQ in total or at any primary point shall not affect the existing Agreement during the remainder of its term.</w:t>
      </w:r>
    </w:p>
    <w:p>
      <w:pPr>
        <w:sectPr>
          <w:footerReference w:type="default" r:id="rId2"/>
          <w:type w:val="nextPage"/>
          <w:pgSz w:w="12240" w:h="15840"/>
          <w:pgMar w:left="1368" w:right="1368" w:gutter="0" w:header="0" w:top="1080" w:footer="1368" w:bottom="1424"/>
          <w:pgNumType w:fmt="decimal"/>
          <w:formProt w:val="false"/>
          <w:textDirection w:val="lrTb"/>
          <w:docGrid w:type="default" w:linePitch="360" w:charSpace="0"/>
        </w:sect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 xml:space="preserve">Within ninety (90) days after receipt of the notice described above, and subject to  credit appraisal procedures and conformance to the above listed requirements, Natural will tender to Shipper a rollover Agreement in accordance with the requirements of its Tariff.  Shipper and Natural shall execute such rollover Agreement, or any modified Agreement upon which Natural and Shipper may mutually agree which is not inconsistent with Natural's Tariff, within ninety (90) days thereafter.  </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Except as expressly agreed to the contrary between Natural and Shipper, no discount or other special terms previously in effect shall apply to Shipper's rollover rights under these provisions.</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If an Agreement is not rolled over pursuant to Section 22.2, the Right of First Refusal under Section 22.3 shall apply.</w:t>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jc w:val="both"/>
        <w:rPr>
          <w:rFonts w:ascii="Arial" w:hAnsi="Arial" w:cs="Arial"/>
        </w:rPr>
      </w:pPr>
      <w:r>
        <w:rPr>
          <w:rFonts w:cs="Arial" w:ascii="Arial" w:hAnsi="Arial"/>
        </w:rPr>
        <w:tab/>
        <w:t>Please complete and return the attached form to Natural Gas Pipeline Company of America, Attention:  Josie Wilkerson, at fax number (713) 369-9325.  If you have any questions, contact Josie at (713) 369-9333.</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ab/>
        <w:tab/>
        <w:tab/>
        <w:t>Very truly yours,</w:t>
      </w:r>
    </w:p>
    <w:p>
      <w:pPr>
        <w:pStyle w:val="Normal"/>
        <w:tabs>
          <w:tab w:val="left" w:pos="720" w:leader="none"/>
          <w:tab w:val="left" w:pos="1440" w:leader="none"/>
          <w:tab w:val="left" w:pos="2160" w:leader="none"/>
          <w:tab w:val="left" w:pos="5760" w:leader="none"/>
        </w:tabs>
        <w:ind w:start="5760" w:end="0"/>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ab/>
        <w:tab/>
        <w:tab/>
        <w:t>Gene M. Nowak</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ab/>
        <w:tab/>
        <w:tab/>
        <w:t>Manager, Request Services</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Attachments</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 xml:space="preserve">cc:  </w:t>
        <w:tab/>
        <w:t>(w attachments)</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M. Kissel</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J. Soland</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J. Wilkerson</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D. Weeks</w:t>
      </w:r>
    </w:p>
    <w:p>
      <w:pPr>
        <w:pStyle w:val="Normal"/>
        <w:tabs>
          <w:tab w:val="left" w:pos="720" w:leader="none"/>
          <w:tab w:val="left" w:pos="1440" w:leader="none"/>
          <w:tab w:val="left" w:pos="2160" w:leader="none"/>
          <w:tab w:val="left" w:pos="5760" w:leader="none"/>
        </w:tabs>
        <w:rPr>
          <w:rFonts w:ascii="Arial" w:hAnsi="Arial" w:cs="Arial"/>
        </w:rPr>
      </w:pPr>
      <w:r>
        <w:rPr>
          <w:rFonts w:cs="Arial" w:ascii="Arial" w:hAnsi="Arial"/>
        </w:rPr>
        <w:tab/>
        <w:t>R. Williams</w:t>
      </w:r>
    </w:p>
    <w:p>
      <w:pPr>
        <w:pStyle w:val="Normal"/>
        <w:tabs>
          <w:tab w:val="left" w:pos="720" w:leader="none"/>
          <w:tab w:val="left" w:pos="1440" w:leader="none"/>
          <w:tab w:val="left" w:pos="2160" w:leader="none"/>
          <w:tab w:val="left" w:pos="5760" w:leader="none"/>
        </w:tabs>
        <w:rPr/>
      </w:pPr>
      <w:r>
        <w:rPr>
          <w:rFonts w:cs="Arial" w:ascii="Arial" w:hAnsi="Arial"/>
        </w:rPr>
        <w:tab/>
      </w:r>
      <w:r>
        <w:rPr>
          <w:rFonts w:cs="Arial" w:ascii="Arial" w:hAnsi="Arial"/>
          <w:iCs/>
        </w:rPr>
        <w:t>A. Edling</w:t>
      </w:r>
    </w:p>
    <w:p>
      <w:pPr>
        <w:pStyle w:val="Normal"/>
        <w:tabs>
          <w:tab w:val="left" w:pos="720" w:leader="none"/>
          <w:tab w:val="left" w:pos="1440" w:leader="none"/>
          <w:tab w:val="left" w:pos="2160" w:leader="none"/>
          <w:tab w:val="left" w:pos="5760" w:leader="none"/>
        </w:tabs>
        <w:rPr/>
      </w:pPr>
      <w:r>
        <w:rPr>
          <w:rFonts w:cs="Arial" w:ascii="Arial" w:hAnsi="Arial"/>
        </w:rPr>
        <w:tab/>
      </w:r>
      <w:r>
        <w:rPr>
          <w:rFonts w:cs="Arial" w:ascii="Arial" w:hAnsi="Arial"/>
          <w:iCs/>
        </w:rPr>
        <w:t>T. Curry</w:t>
      </w:r>
      <w:r>
        <w:br w:type="page"/>
      </w:r>
    </w:p>
    <w:p>
      <w:pPr>
        <w:pStyle w:val="Heading1"/>
        <w:ind w:hanging="0" w:start="0"/>
        <w:rPr/>
      </w:pPr>
      <w:r>
        <w:rPr/>
        <w:t>NATURAL GAS PIPELINE COMPANY OF AMERICA</w:t>
      </w:r>
    </w:p>
    <w:p>
      <w:pPr>
        <w:pStyle w:val="Normal"/>
        <w:tabs>
          <w:tab w:val="left" w:pos="720" w:leader="none"/>
          <w:tab w:val="left" w:pos="1440" w:leader="none"/>
          <w:tab w:val="left" w:pos="2160" w:leader="none"/>
          <w:tab w:val="left" w:pos="5760" w:leader="none"/>
        </w:tabs>
        <w:jc w:val="center"/>
        <w:rPr>
          <w:rFonts w:ascii="Arial" w:hAnsi="Arial" w:cs="Arial"/>
          <w:b/>
          <w:sz w:val="22"/>
        </w:rPr>
      </w:pPr>
      <w:r>
        <w:rPr>
          <w:rFonts w:cs="Arial" w:ascii="Arial" w:hAnsi="Arial"/>
          <w:b/>
          <w:sz w:val="22"/>
        </w:rPr>
        <w:t>NOTICE OF ELECTION TO EXERCISE THREE YEAR ROLLOVER</w:t>
      </w:r>
    </w:p>
    <w:p>
      <w:pPr>
        <w:pStyle w:val="Normal"/>
        <w:tabs>
          <w:tab w:val="left" w:pos="720" w:leader="none"/>
          <w:tab w:val="left" w:pos="1440" w:leader="none"/>
          <w:tab w:val="left" w:pos="2160" w:leader="none"/>
          <w:tab w:val="left" w:pos="5760" w:leader="none"/>
        </w:tabs>
        <w:jc w:val="center"/>
        <w:rPr>
          <w:rFonts w:ascii="Arial" w:hAnsi="Arial" w:cs="Arial"/>
          <w:sz w:val="22"/>
        </w:rPr>
      </w:pPr>
      <w:r>
        <w:rPr>
          <w:rFonts w:cs="Arial" w:ascii="Arial" w:hAnsi="Arial"/>
          <w:b/>
          <w:sz w:val="22"/>
        </w:rPr>
        <w:t>(SEE GENERAL TERMS AND CONDITIONS SECTION 22.2)</w:t>
      </w:r>
    </w:p>
    <w:p>
      <w:pPr>
        <w:pStyle w:val="Normal"/>
        <w:tabs>
          <w:tab w:val="left" w:pos="720" w:leader="none"/>
          <w:tab w:val="left" w:pos="1440" w:leader="none"/>
          <w:tab w:val="left" w:pos="2160" w:leader="none"/>
          <w:tab w:val="left" w:pos="5760" w:leader="none"/>
        </w:tabs>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t>Shipper Name:      ENRON NORTH AMERICA</w:t>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t>Rate Schedule:     NSS</w:t>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t>Contract Number:   114846</w:t>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t xml:space="preserve">Date Current Service Ends:     June 2, 2002 </w:t>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5760" w:leader="none"/>
        </w:tabs>
        <w:rPr>
          <w:rFonts w:ascii="Arial" w:hAnsi="Arial" w:cs="Arial"/>
          <w:b/>
          <w:sz w:val="22"/>
        </w:rPr>
      </w:pPr>
      <w:r>
        <w:rPr>
          <w:rFonts w:cs="Arial" w:ascii="Arial" w:hAnsi="Arial"/>
          <w:b/>
          <w:sz w:val="22"/>
        </w:rPr>
        <w:t>Desired New Service End Date (Must be at least</w:t>
      </w:r>
    </w:p>
    <w:p>
      <w:pPr>
        <w:pStyle w:val="Normal"/>
        <w:tabs>
          <w:tab w:val="left" w:pos="720" w:leader="none"/>
          <w:tab w:val="left" w:pos="1440" w:leader="none"/>
          <w:tab w:val="left" w:pos="2160" w:leader="none"/>
          <w:tab w:val="left" w:pos="7110" w:leader="none"/>
        </w:tabs>
        <w:rPr>
          <w:rFonts w:ascii="Arial" w:hAnsi="Arial" w:cs="Arial"/>
          <w:b/>
          <w:sz w:val="22"/>
        </w:rPr>
      </w:pPr>
      <w:r>
        <w:rPr>
          <w:rFonts w:cs="Arial" w:ascii="Arial" w:hAnsi="Arial"/>
          <w:b/>
          <w:sz w:val="22"/>
        </w:rPr>
        <w:t>three (3) years from current service end date):</w:t>
      </w:r>
    </w:p>
    <w:p>
      <w:pPr>
        <w:pStyle w:val="Normal"/>
        <w:tabs>
          <w:tab w:val="left" w:pos="720" w:leader="none"/>
          <w:tab w:val="left" w:pos="1440" w:leader="none"/>
          <w:tab w:val="left" w:pos="2160" w:leader="none"/>
          <w:tab w:val="left" w:pos="7110" w:leader="none"/>
        </w:tabs>
        <w:rPr>
          <w:rFonts w:ascii="Arial" w:hAnsi="Arial" w:cs="Arial"/>
          <w:b/>
          <w:sz w:val="22"/>
          <w:lang w:val="en-CA" w:eastAsia="en-CA"/>
        </w:rPr>
      </w:pPr>
      <w:r>
        <w:rPr>
          <w:rFonts w:cs="Arial" w:ascii="Arial" w:hAnsi="Arial"/>
          <w:b/>
          <w:sz w:val="22"/>
          <w:lang w:val="en-CA" w:eastAsia="en-CA"/>
        </w:rPr>
        <mc:AlternateContent>
          <mc:Choice Requires="wps">
            <w:drawing>
              <wp:anchor behindDoc="1" distT="0" distB="0" distL="114935" distR="114935" simplePos="0" locked="0" layoutInCell="0" allowOverlap="1" relativeHeight="2">
                <wp:simplePos x="0" y="0"/>
                <wp:positionH relativeFrom="page">
                  <wp:posOffset>5200650</wp:posOffset>
                </wp:positionH>
                <wp:positionV relativeFrom="paragraph">
                  <wp:posOffset>635</wp:posOffset>
                </wp:positionV>
                <wp:extent cx="1885950" cy="12065"/>
                <wp:effectExtent l="0" t="635" r="0" b="0"/>
                <wp:wrapNone/>
                <wp:docPr id="1" name=""/>
                <a:graphic xmlns:a="http://schemas.openxmlformats.org/drawingml/2006/main">
                  <a:graphicData uri="http://schemas.microsoft.com/office/word/2010/wordprocessingShape">
                    <wps:wsp>
                      <wps:cNvSpPr/>
                      <wps:spPr>
                        <a:xfrm>
                          <a:off x="0" y="0"/>
                          <a:ext cx="188604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09.5pt;margin-top:0pt;width:148.4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720" w:leader="none"/>
          <w:tab w:val="left" w:pos="1440" w:leader="none"/>
          <w:tab w:val="left" w:pos="2160" w:leader="none"/>
          <w:tab w:val="left" w:pos="7110" w:leader="none"/>
        </w:tabs>
        <w:rPr>
          <w:rFonts w:ascii="Arial" w:hAnsi="Arial" w:cs="Arial"/>
          <w:b/>
          <w:sz w:val="22"/>
        </w:rPr>
      </w:pPr>
      <w:r>
        <w:rPr>
          <w:rFonts w:cs="Arial" w:ascii="Arial" w:hAnsi="Arial"/>
          <w:b/>
          <w:sz w:val="22"/>
        </w:rPr>
        <w:t xml:space="preserve">Total Contract MDQ (MMBtu/d) for which Rollover is being  </w:t>
      </w:r>
    </w:p>
    <w:p>
      <w:pPr>
        <w:pStyle w:val="Normal"/>
        <w:tabs>
          <w:tab w:val="left" w:pos="720" w:leader="none"/>
          <w:tab w:val="left" w:pos="1440" w:leader="none"/>
          <w:tab w:val="left" w:pos="2160" w:leader="none"/>
          <w:tab w:val="left" w:pos="7110" w:leader="none"/>
          <w:tab w:val="left" w:pos="7200" w:leader="none"/>
          <w:tab w:val="left" w:pos="8420" w:leader="none"/>
        </w:tabs>
        <w:rPr/>
      </w:pPr>
      <w:r>
        <w:rPr>
          <w:rFonts w:cs="Arial" w:ascii="Arial" w:hAnsi="Arial"/>
          <w:b/>
          <w:sz w:val="22"/>
        </w:rPr>
        <w:t>exercised (Must be equal to or less than current MDQ):</w:t>
      </w:r>
      <w:r>
        <w:rPr>
          <w:rFonts w:cs="Arial" w:ascii="Arial" w:hAnsi="Arial"/>
          <w:sz w:val="22"/>
        </w:rPr>
        <w:tab/>
        <w:tab/>
        <w:t xml:space="preserve">            13,333</w:t>
      </w:r>
    </w:p>
    <w:p>
      <w:pPr>
        <w:pStyle w:val="Normal"/>
        <w:tabs>
          <w:tab w:val="left" w:pos="720" w:leader="none"/>
          <w:tab w:val="left" w:pos="1440" w:leader="none"/>
          <w:tab w:val="left" w:pos="2160" w:leader="none"/>
          <w:tab w:val="left" w:pos="7110" w:leader="none"/>
        </w:tabs>
        <w:rPr>
          <w:rFonts w:ascii="Arial" w:hAnsi="Arial" w:cs="Arial"/>
          <w:sz w:val="22"/>
          <w:lang w:val="en-CA" w:eastAsia="en-CA"/>
        </w:rPr>
      </w:pPr>
      <w:r>
        <w:rPr>
          <w:rFonts w:cs="Arial" w:ascii="Arial" w:hAnsi="Arial"/>
          <w:sz w:val="22"/>
          <w:lang w:val="en-CA" w:eastAsia="en-CA"/>
        </w:rPr>
        <mc:AlternateContent>
          <mc:Choice Requires="wps">
            <w:drawing>
              <wp:anchor behindDoc="1" distT="0" distB="0" distL="114935" distR="114935" simplePos="0" locked="0" layoutInCell="0" allowOverlap="1" relativeHeight="3">
                <wp:simplePos x="0" y="0"/>
                <wp:positionH relativeFrom="page">
                  <wp:posOffset>5200650</wp:posOffset>
                </wp:positionH>
                <wp:positionV relativeFrom="paragraph">
                  <wp:posOffset>635</wp:posOffset>
                </wp:positionV>
                <wp:extent cx="1885950" cy="12065"/>
                <wp:effectExtent l="0" t="635" r="0" b="0"/>
                <wp:wrapNone/>
                <wp:docPr id="2" name=""/>
                <a:graphic xmlns:a="http://schemas.openxmlformats.org/drawingml/2006/main">
                  <a:graphicData uri="http://schemas.microsoft.com/office/word/2010/wordprocessingShape">
                    <wps:wsp>
                      <wps:cNvSpPr/>
                      <wps:spPr>
                        <a:xfrm>
                          <a:off x="0" y="0"/>
                          <a:ext cx="188604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09.5pt;margin-top:0pt;width:148.4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720" w:leader="none"/>
          <w:tab w:val="left" w:pos="1440" w:leader="none"/>
          <w:tab w:val="left" w:pos="2160" w:leader="none"/>
          <w:tab w:val="left" w:pos="7110" w:leader="none"/>
        </w:tabs>
        <w:rPr>
          <w:rFonts w:ascii="Arial" w:hAnsi="Arial" w:cs="Arial"/>
          <w:b/>
          <w:sz w:val="22"/>
        </w:rPr>
      </w:pPr>
      <w:r>
        <w:rPr>
          <w:rFonts w:cs="Arial" w:ascii="Arial" w:hAnsi="Arial"/>
          <w:b/>
          <w:sz w:val="22"/>
        </w:rPr>
        <w:t>Listed below is the primary MDQ at each Receipt and Delivery point currently in effect under the existing agreement.  If you desire to change the primary points or the MDQ please contact your Account Manager.</w:t>
      </w:r>
    </w:p>
    <w:p>
      <w:pPr>
        <w:pStyle w:val="Normal"/>
        <w:tabs>
          <w:tab w:val="left" w:pos="720" w:leader="none"/>
          <w:tab w:val="left" w:pos="1440" w:leader="none"/>
          <w:tab w:val="left" w:pos="2160" w:leader="none"/>
          <w:tab w:val="left" w:pos="7110" w:leader="none"/>
        </w:tabs>
        <w:rPr>
          <w:rFonts w:ascii="Arial" w:hAnsi="Arial" w:cs="Arial"/>
          <w:b/>
          <w:sz w:val="22"/>
        </w:rPr>
      </w:pPr>
      <w:r>
        <w:rPr>
          <w:rFonts w:cs="Arial" w:ascii="Arial" w:hAnsi="Arial"/>
          <w:b/>
          <w:sz w:val="22"/>
        </w:rPr>
      </w:r>
    </w:p>
    <w:tbl>
      <w:tblPr>
        <w:tblW w:w="9270" w:type="dxa"/>
        <w:jc w:val="start"/>
        <w:tblInd w:w="642" w:type="dxa"/>
        <w:tblLayout w:type="fixed"/>
        <w:tblCellMar>
          <w:top w:w="0" w:type="dxa"/>
          <w:start w:w="120" w:type="dxa"/>
          <w:bottom w:w="0" w:type="dxa"/>
          <w:end w:w="120" w:type="dxa"/>
        </w:tblCellMar>
      </w:tblPr>
      <w:tblGrid>
        <w:gridCol w:w="5850"/>
        <w:gridCol w:w="1620"/>
        <w:gridCol w:w="1800"/>
      </w:tblGrid>
      <w:tr>
        <w:trPr/>
        <w:tc>
          <w:tcPr>
            <w:tcW w:w="585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jc w:val="center"/>
              <w:rPr>
                <w:rFonts w:ascii="Arial" w:hAnsi="Arial" w:cs="Arial"/>
                <w:b/>
                <w:sz w:val="22"/>
              </w:rPr>
            </w:pPr>
            <w:r>
              <w:rPr>
                <w:rFonts w:cs="Arial" w:ascii="Arial" w:hAnsi="Arial"/>
                <w:b/>
                <w:sz w:val="22"/>
              </w:rPr>
              <w:t>PIN NO./NAME</w:t>
            </w:r>
          </w:p>
        </w:tc>
        <w:tc>
          <w:tcPr>
            <w:tcW w:w="162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jc w:val="center"/>
              <w:rPr>
                <w:rFonts w:ascii="Arial" w:hAnsi="Arial" w:cs="Arial"/>
                <w:b/>
                <w:sz w:val="22"/>
              </w:rPr>
            </w:pPr>
            <w:r>
              <w:rPr>
                <w:rFonts w:cs="Arial" w:ascii="Arial" w:hAnsi="Arial"/>
                <w:b/>
                <w:sz w:val="22"/>
              </w:rPr>
              <w:t>MDQ</w:t>
            </w:r>
          </w:p>
          <w:p>
            <w:pPr>
              <w:pStyle w:val="Normal"/>
              <w:tabs>
                <w:tab w:val="left" w:pos="720" w:leader="none"/>
                <w:tab w:val="left" w:pos="1440" w:leader="none"/>
                <w:tab w:val="left" w:pos="2160" w:leader="none"/>
                <w:tab w:val="left" w:pos="7110" w:leader="none"/>
              </w:tabs>
              <w:spacing w:before="0" w:after="58"/>
              <w:jc w:val="center"/>
              <w:rPr>
                <w:rFonts w:ascii="Arial" w:hAnsi="Arial" w:cs="Arial"/>
                <w:b/>
                <w:sz w:val="22"/>
              </w:rPr>
            </w:pPr>
            <w:r>
              <w:rPr>
                <w:rFonts w:cs="Arial" w:ascii="Arial" w:hAnsi="Arial"/>
                <w:b/>
                <w:sz w:val="22"/>
              </w:rPr>
              <w:t>(MMBTU/D)</w:t>
            </w:r>
          </w:p>
        </w:tc>
        <w:tc>
          <w:tcPr>
            <w:tcW w:w="180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jc w:val="center"/>
              <w:rPr>
                <w:rFonts w:ascii="Arial" w:hAnsi="Arial" w:cs="Arial"/>
                <w:b/>
                <w:sz w:val="22"/>
              </w:rPr>
            </w:pPr>
            <w:r>
              <w:rPr>
                <w:rFonts w:cs="Arial" w:ascii="Arial" w:hAnsi="Arial"/>
                <w:b/>
                <w:sz w:val="22"/>
              </w:rPr>
              <w:t>RECEIPT/</w:t>
            </w:r>
          </w:p>
          <w:p>
            <w:pPr>
              <w:pStyle w:val="Normal"/>
              <w:tabs>
                <w:tab w:val="left" w:pos="720" w:leader="none"/>
                <w:tab w:val="left" w:pos="1440" w:leader="none"/>
                <w:tab w:val="left" w:pos="2160" w:leader="none"/>
                <w:tab w:val="left" w:pos="7110" w:leader="none"/>
              </w:tabs>
              <w:spacing w:before="0" w:after="58"/>
              <w:jc w:val="center"/>
              <w:rPr>
                <w:rFonts w:ascii="Arial" w:hAnsi="Arial" w:cs="Arial"/>
                <w:b/>
                <w:sz w:val="22"/>
              </w:rPr>
            </w:pPr>
            <w:r>
              <w:rPr>
                <w:rFonts w:cs="Arial" w:ascii="Arial" w:hAnsi="Arial"/>
                <w:b/>
                <w:sz w:val="22"/>
              </w:rPr>
              <w:t>DELIVERY</w:t>
            </w:r>
          </w:p>
        </w:tc>
      </w:tr>
      <w:tr>
        <w:trPr/>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t>100% Gulf Coast Storage points</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t>13,333</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t>REC/DEL</w:t>
            </w:r>
          </w:p>
        </w:tc>
      </w:tr>
      <w:tr>
        <w:trPr>
          <w:trHeight w:val="523" w:hRule="atLeast"/>
        </w:trPr>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t>MSV = 999,975</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r>
      <w:tr>
        <w:trPr/>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r>
      <w:tr>
        <w:trPr/>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spacing w:lineRule="exact" w:line="120"/>
              <w:rPr>
                <w:rFonts w:ascii="Arial" w:hAnsi="Arial" w:cs="Arial"/>
                <w:b/>
                <w:sz w:val="22"/>
              </w:rPr>
            </w:pPr>
            <w:r>
              <w:rPr>
                <w:rFonts w:cs="Arial" w:ascii="Arial" w:hAnsi="Arial"/>
                <w:b/>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r>
      <w:tr>
        <w:trPr/>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r>
      <w:tr>
        <w:trPr/>
        <w:tc>
          <w:tcPr>
            <w:tcW w:w="5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spacing w:before="0" w:after="58"/>
              <w:rPr>
                <w:rFonts w:ascii="Arial" w:hAnsi="Arial" w:cs="Arial"/>
                <w:b/>
                <w:sz w:val="22"/>
              </w:rPr>
            </w:pPr>
            <w:r>
              <w:rPr>
                <w:rFonts w:cs="Arial" w:ascii="Arial" w:hAnsi="Arial"/>
                <w:b/>
                <w:sz w:val="22"/>
              </w:rPr>
            </w:r>
          </w:p>
        </w:tc>
      </w:tr>
    </w:tbl>
    <w:p>
      <w:pPr>
        <w:pStyle w:val="Normal"/>
        <w:tabs>
          <w:tab w:val="left" w:pos="720" w:leader="none"/>
          <w:tab w:val="left" w:pos="1440" w:leader="none"/>
          <w:tab w:val="left" w:pos="2160" w:leader="none"/>
          <w:tab w:val="left" w:pos="7110" w:leader="none"/>
        </w:tabs>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7110" w:leader="none"/>
        </w:tabs>
        <w:rPr>
          <w:rFonts w:ascii="Arial" w:hAnsi="Arial" w:cs="Arial"/>
          <w:sz w:val="22"/>
        </w:rPr>
      </w:pPr>
      <w:r>
        <w:rPr>
          <w:rFonts w:cs="Arial" w:ascii="Arial" w:hAnsi="Arial"/>
          <w:b/>
          <w:sz w:val="22"/>
        </w:rPr>
        <w:t>This completed form should be faxed to Natural Gas Pipeline Company of America  to the attention of Josie Wilkerson at (713) 369-9325 before 4:00 p.m. June 2, 2001.</w:t>
      </w:r>
      <w:r>
        <w:rPr>
          <w:rFonts w:cs="Arial" w:ascii="Arial" w:hAnsi="Arial"/>
          <w:sz w:val="22"/>
        </w:rPr>
        <w:t xml:space="preserve">  </w:t>
      </w:r>
      <w:r>
        <w:rPr>
          <w:rFonts w:cs="Arial" w:ascii="Arial" w:hAnsi="Arial"/>
          <w:b/>
          <w:sz w:val="22"/>
        </w:rPr>
        <w:t>If Shipper fails to timely return this sheet, Shipper shall have waived its rollover rights under Section 22.2 of the General Terms and Conditions of Natural's FERC Gas Tariff.</w:t>
      </w:r>
    </w:p>
    <w:p>
      <w:pPr>
        <w:pStyle w:val="Normal"/>
        <w:tabs>
          <w:tab w:val="left" w:pos="720" w:leader="none"/>
          <w:tab w:val="left" w:pos="1440" w:leader="none"/>
          <w:tab w:val="left" w:pos="2160" w:leader="none"/>
          <w:tab w:val="left" w:pos="5760" w:leader="none"/>
          <w:tab w:val="left" w:pos="6570" w:leader="none"/>
        </w:tabs>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5760" w:leader="none"/>
          <w:tab w:val="left" w:pos="6570" w:leader="none"/>
        </w:tabs>
        <w:rPr>
          <w:rFonts w:ascii="Arial" w:hAnsi="Arial" w:cs="Arial"/>
          <w:sz w:val="22"/>
        </w:rPr>
      </w:pPr>
      <w:r>
        <w:rPr>
          <w:rFonts w:cs="Arial" w:ascii="Arial" w:hAnsi="Arial"/>
          <w:sz w:val="22"/>
        </w:rPr>
        <w:tab/>
        <w:tab/>
        <w:tab/>
        <w:tab/>
        <w:t>By: ___________________________</w:t>
      </w:r>
    </w:p>
    <w:p>
      <w:pPr>
        <w:pStyle w:val="Normal"/>
        <w:tabs>
          <w:tab w:val="left" w:pos="720" w:leader="none"/>
          <w:tab w:val="left" w:pos="1440" w:leader="none"/>
          <w:tab w:val="left" w:pos="2160" w:leader="none"/>
          <w:tab w:val="left" w:pos="5760" w:leader="none"/>
          <w:tab w:val="left" w:pos="6570" w:leader="none"/>
        </w:tabs>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5760" w:leader="none"/>
          <w:tab w:val="left" w:pos="6570" w:leader="none"/>
        </w:tabs>
        <w:rPr>
          <w:rFonts w:ascii="Arial" w:hAnsi="Arial" w:cs="Arial"/>
          <w:sz w:val="22"/>
        </w:rPr>
      </w:pPr>
      <w:r>
        <w:rPr>
          <w:rFonts w:cs="Arial" w:ascii="Arial" w:hAnsi="Arial"/>
          <w:sz w:val="22"/>
        </w:rPr>
        <w:tab/>
        <w:tab/>
        <w:tab/>
        <w:tab/>
        <w:t>Name: ________________________</w:t>
      </w:r>
    </w:p>
    <w:p>
      <w:pPr>
        <w:pStyle w:val="Normal"/>
        <w:tabs>
          <w:tab w:val="left" w:pos="720" w:leader="none"/>
          <w:tab w:val="left" w:pos="1440" w:leader="none"/>
          <w:tab w:val="left" w:pos="2160" w:leader="none"/>
          <w:tab w:val="left" w:pos="5760" w:leader="none"/>
          <w:tab w:val="left" w:pos="6570" w:leader="none"/>
        </w:tabs>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5760" w:leader="none"/>
          <w:tab w:val="left" w:pos="6570" w:leader="none"/>
        </w:tabs>
        <w:rPr>
          <w:rFonts w:ascii="Arial" w:hAnsi="Arial" w:cs="Arial"/>
          <w:sz w:val="22"/>
        </w:rPr>
      </w:pPr>
      <w:r>
        <w:rPr>
          <w:rFonts w:cs="Arial" w:ascii="Arial" w:hAnsi="Arial"/>
          <w:sz w:val="22"/>
        </w:rPr>
        <w:tab/>
        <w:tab/>
        <w:tab/>
        <w:tab/>
        <w:t>Title: __________________________</w:t>
      </w:r>
    </w:p>
    <w:sectPr>
      <w:headerReference w:type="default" r:id="rId3"/>
      <w:footerReference w:type="default" r:id="rId4"/>
      <w:footerReference w:type="first" r:id="rId5"/>
      <w:type w:val="nextPage"/>
      <w:pgSz w:w="12240" w:h="15840"/>
      <w:pgMar w:left="1368" w:right="1368"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432" w:leader="none"/>
        <w:tab w:val="left" w:pos="1152" w:leader="none"/>
        <w:tab w:val="left" w:pos="1872" w:leader="none"/>
        <w:tab w:val="left" w:pos="5472" w:leader="none"/>
      </w:tabs>
      <w:ind w:start="-288" w:end="-288"/>
      <w:rPr>
        <w:rFonts w:ascii="Courier;Courier New" w:hAnsi="Courier;Courier New" w:cs="Courier;Courier New"/>
        <w:sz w:val="14"/>
      </w:rPr>
    </w:pPr>
    <w:r>
      <w:rPr>
        <w:rFonts w:cs="Courier;Courier New" w:ascii="Courier;Courier New" w:hAnsi="Courier;Courier New"/>
        <w:sz w:val="14"/>
      </w:rPr>
      <w:t>K:\1961\SHARE\ROLLOVER\NGPL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432" w:leader="none"/>
        <w:tab w:val="left" w:pos="1152" w:leader="none"/>
        <w:tab w:val="left" w:pos="1872" w:leader="none"/>
        <w:tab w:val="left" w:pos="5472" w:leader="none"/>
      </w:tabs>
      <w:ind w:start="-288" w:end="-288"/>
      <w:rPr>
        <w:rFonts w:ascii="Courier;Courier New" w:hAnsi="Courier;Courier New" w:cs="Courier;Courier New"/>
        <w:sz w:val="14"/>
      </w:rPr>
    </w:pPr>
    <w:r>
      <w:rPr>
        <w:rFonts w:cs="Courier;Courier New" w:ascii="Courier;Courier New" w:hAnsi="Courier;Courier New"/>
        <w:sz w:val="14"/>
      </w:rPr>
      <w:t>K:\1961\SHARE\ROLLOVER\NGPL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 w:leader="none"/>
        <w:tab w:val="left" w:pos="1152" w:leader="none"/>
        <w:tab w:val="left" w:pos="1872" w:leader="none"/>
        <w:tab w:val="left" w:pos="5472" w:leader="none"/>
      </w:tabs>
      <w:ind w:start="-288" w:end="-288"/>
      <w:jc w:val="both"/>
      <w:rPr>
        <w:sz w:val="26"/>
      </w:rPr>
    </w:pPr>
    <w:r>
      <w:rPr>
        <w:sz w:val="26"/>
      </w:rPr>
    </w:r>
  </w:p>
  <w:p>
    <w:pPr>
      <w:pStyle w:val="Normal"/>
      <w:spacing w:lineRule="exact" w:line="240"/>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Bookman Old Style" w:hAnsi="Bookman Old Style" w:eastAsia="Times New Roman" w:cs="Bookman Old Style"/>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760" w:leader="none"/>
      </w:tabs>
      <w:jc w:val="center"/>
      <w:outlineLvl w:val="0"/>
    </w:pPr>
    <w:rPr>
      <w:rFonts w:ascii="Arial" w:hAnsi="Arial" w:cs="Arial"/>
      <w:b/>
      <w:sz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2001-05-30T15:09:00Z</dcterms:created>
  <dc:creator>Theresia Olson</dc:creator>
  <dc:description/>
  <dc:language>en-CA</dc:language>
  <cp:lastModifiedBy>edliane1</cp:lastModifiedBy>
  <cp:lastPrinted>1999-08-31T09:57:00Z</cp:lastPrinted>
  <dcterms:modified xsi:type="dcterms:W3CDTF">2001-05-30T15:09:00Z</dcterms:modified>
  <cp:revision>2</cp:revision>
  <dc:subject/>
  <dc:title>December 3, 1998</dc:title>
</cp:coreProperties>
</file>