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spacing w:before="0" w:after="0"/>
        <w:ind w:hanging="0" w:start="0"/>
        <w:rPr>
          <w:rFonts w:ascii="Times New Roman" w:hAnsi="Times New Roman" w:cs="Times New Roman"/>
          <w:sz w:val="24"/>
        </w:rPr>
      </w:pPr>
      <w:r>
        <w:rPr>
          <w:rFonts w:cs="Times New Roman" w:ascii="Times New Roman" w:hAnsi="Times New Roman"/>
          <w:sz w:val="24"/>
        </w:rPr>
        <w:t xml:space="preserve">Instructions for Reporting Pilot Success Rates—Competitive Retailer </w:t>
      </w:r>
    </w:p>
    <w:p>
      <w:pPr>
        <w:pStyle w:val="Normal"/>
        <w:rPr>
          <w:rFonts w:ascii="Times New Roman" w:hAnsi="Times New Roman" w:cs="Times New Roman"/>
          <w:sz w:val="24"/>
        </w:rPr>
      </w:pPr>
      <w:r>
        <w:rPr>
          <w:rFonts w:cs="Times New Roman"/>
          <w:sz w:val="24"/>
        </w:rPr>
      </w:r>
    </w:p>
    <w:p>
      <w:pPr>
        <w:pStyle w:val="Heading4"/>
        <w:tabs>
          <w:tab w:val="clear" w:pos="720"/>
          <w:tab w:val="left" w:pos="1440" w:leader="none"/>
        </w:tabs>
        <w:ind w:hanging="0" w:start="0"/>
        <w:rPr>
          <w:sz w:val="20"/>
        </w:rPr>
      </w:pPr>
      <w:r>
        <w:rPr>
          <w:sz w:val="20"/>
        </w:rPr>
        <w:t>Due dates:</w:t>
        <w:tab/>
      </w:r>
    </w:p>
    <w:p>
      <w:pPr>
        <w:pStyle w:val="Normal"/>
        <w:rPr/>
      </w:pPr>
      <w:r>
        <w:rPr>
          <w:b/>
        </w:rPr>
        <w:t>10/31/01</w:t>
        <w:tab/>
        <w:tab/>
        <w:t>5:00 pm</w:t>
      </w:r>
      <w:r>
        <w:rPr/>
        <w:t xml:space="preserve"> (draft report emailed to Connie Corona)</w:t>
      </w:r>
    </w:p>
    <w:p>
      <w:pPr>
        <w:pStyle w:val="Normal"/>
        <w:tabs>
          <w:tab w:val="clear" w:pos="720"/>
          <w:tab w:val="left" w:pos="1440" w:leader="none"/>
        </w:tabs>
        <w:rPr/>
      </w:pPr>
      <w:r>
        <w:rPr>
          <w:b/>
        </w:rPr>
        <w:t>11/15/2001</w:t>
        <w:tab/>
        <w:t xml:space="preserve">5:00 pm </w:t>
      </w:r>
      <w:r>
        <w:rPr/>
        <w:t xml:space="preserve">(in conjunction with </w:t>
      </w:r>
      <w:r>
        <w:rPr>
          <w:smallCaps/>
        </w:rPr>
        <w:t>P.U.C. Subst. R.</w:t>
      </w:r>
      <w:r>
        <w:rPr/>
        <w:t xml:space="preserve"> 25.431(j)(3)(B)</w:t>
      </w:r>
    </w:p>
    <w:p>
      <w:pPr>
        <w:pStyle w:val="Normal"/>
        <w:tabs>
          <w:tab w:val="clear" w:pos="720"/>
          <w:tab w:val="left" w:pos="1440" w:leader="none"/>
        </w:tabs>
        <w:rPr/>
      </w:pPr>
      <w:r>
        <w:rPr>
          <w:b/>
        </w:rPr>
        <w:t>1/30/2002</w:t>
        <w:tab/>
        <w:t xml:space="preserve">5:00 pm </w:t>
      </w:r>
      <w:r>
        <w:rPr/>
        <w:t xml:space="preserve">(in conjunction with </w:t>
      </w:r>
      <w:r>
        <w:rPr>
          <w:smallCaps/>
        </w:rPr>
        <w:t>P.U.C. Subst. R.</w:t>
      </w:r>
      <w:r>
        <w:rPr/>
        <w:t xml:space="preserve"> 25.431(j)(3)(B)</w:t>
      </w:r>
    </w:p>
    <w:p>
      <w:pPr>
        <w:pStyle w:val="Normal"/>
        <w:tabs>
          <w:tab w:val="clear" w:pos="720"/>
          <w:tab w:val="left" w:pos="1440" w:leader="none"/>
        </w:tabs>
        <w:rPr/>
      </w:pPr>
      <w:r>
        <w:rPr/>
      </w:r>
    </w:p>
    <w:p>
      <w:pPr>
        <w:pStyle w:val="Heading1"/>
        <w:tabs>
          <w:tab w:val="clear" w:pos="720"/>
          <w:tab w:val="left" w:pos="1440" w:leader="none"/>
        </w:tabs>
        <w:spacing w:before="0" w:after="0"/>
        <w:ind w:hanging="0" w:start="0"/>
        <w:jc w:val="both"/>
        <w:rPr>
          <w:rFonts w:ascii="Times New Roman" w:hAnsi="Times New Roman" w:cs="Times New Roman"/>
          <w:i/>
          <w:i/>
          <w:sz w:val="20"/>
        </w:rPr>
      </w:pPr>
      <w:r>
        <w:rPr>
          <w:rFonts w:cs="Times New Roman" w:ascii="Times New Roman" w:hAnsi="Times New Roman"/>
          <w:i/>
          <w:sz w:val="20"/>
        </w:rPr>
        <w:t>ALL REPORT DATA SHOULD BE AS OF CLOSE OF BUSINESS.  Please explain any exceptions in supporting documentation.</w:t>
      </w:r>
    </w:p>
    <w:p>
      <w:pPr>
        <w:pStyle w:val="Heading1"/>
        <w:tabs>
          <w:tab w:val="clear" w:pos="720"/>
          <w:tab w:val="left" w:pos="1440" w:leader="none"/>
        </w:tabs>
        <w:spacing w:before="0" w:after="0"/>
        <w:ind w:hanging="0" w:start="0"/>
        <w:rPr>
          <w:rFonts w:ascii="Times New Roman" w:hAnsi="Times New Roman" w:cs="Times New Roman"/>
          <w:i/>
          <w:i/>
          <w:sz w:val="20"/>
        </w:rPr>
      </w:pPr>
      <w:r>
        <w:rPr>
          <w:rFonts w:cs="Times New Roman" w:ascii="Times New Roman" w:hAnsi="Times New Roman"/>
          <w:i/>
          <w:sz w:val="20"/>
        </w:rPr>
      </w:r>
    </w:p>
    <w:p>
      <w:pPr>
        <w:pStyle w:val="Heading1"/>
        <w:tabs>
          <w:tab w:val="clear" w:pos="720"/>
          <w:tab w:val="left" w:pos="1440" w:leader="none"/>
        </w:tabs>
        <w:spacing w:before="0" w:after="0"/>
        <w:ind w:hanging="0" w:start="0"/>
        <w:rPr>
          <w:rFonts w:ascii="Times New Roman" w:hAnsi="Times New Roman" w:cs="Times New Roman"/>
          <w:sz w:val="20"/>
        </w:rPr>
      </w:pPr>
      <w:r>
        <w:rPr>
          <w:rFonts w:cs="Times New Roman" w:ascii="Times New Roman" w:hAnsi="Times New Roman"/>
          <w:sz w:val="20"/>
        </w:rPr>
        <w:t>Filing requirements:</w:t>
      </w:r>
    </w:p>
    <w:p>
      <w:pPr>
        <w:pStyle w:val="Normal"/>
        <w:jc w:val="both"/>
        <w:rPr/>
      </w:pPr>
      <w:r>
        <w:rPr/>
        <w:t xml:space="preserve">Please file the results of your calculations with the Commission’s Central Records by close of business on November 15, 2001, and January 30, 2002.  E-mail your filing, plus supporting documentation (designated as confidential), to </w:t>
      </w:r>
      <w:hyperlink r:id="rId2">
        <w:r>
          <w:rPr>
            <w:rStyle w:val="Hyperlink"/>
          </w:rPr>
          <w:t>connie.corona@puc.state.tx.us</w:t>
        </w:r>
      </w:hyperlink>
      <w:r>
        <w:rPr/>
        <w:t xml:space="preserve"> by the time shown.  The October 31, 2001 draft report should not be filed with the Commission’s Central Records, but should be E-mailed to Connie Corona.</w:t>
      </w:r>
    </w:p>
    <w:p>
      <w:pPr>
        <w:pStyle w:val="Normal"/>
        <w:jc w:val="both"/>
        <w:rPr/>
      </w:pPr>
      <w:r>
        <w:rPr/>
      </w:r>
    </w:p>
    <w:p>
      <w:pPr>
        <w:pStyle w:val="Normal"/>
        <w:jc w:val="both"/>
        <w:rPr>
          <w:strike/>
        </w:rPr>
      </w:pPr>
      <w:r>
        <w:rPr/>
        <w:t xml:space="preserve">These filing requirements supercede the PIWG filing requirements previously circulated for this Project. </w:t>
      </w:r>
    </w:p>
    <w:p>
      <w:pPr>
        <w:pStyle w:val="Normal"/>
        <w:jc w:val="both"/>
        <w:rPr>
          <w:strike/>
        </w:rPr>
      </w:pPr>
      <w:r>
        <w:rPr>
          <w:strike/>
        </w:rPr>
      </w:r>
    </w:p>
    <w:p>
      <w:pPr>
        <w:pStyle w:val="Normal"/>
        <w:rPr>
          <w:b/>
        </w:rPr>
      </w:pPr>
      <w:r>
        <w:rPr>
          <w:b/>
        </w:rPr>
        <w:t xml:space="preserve">Time Periods to be reported: </w:t>
      </w:r>
    </w:p>
    <w:p>
      <w:pPr>
        <w:pStyle w:val="Normal"/>
        <w:rPr/>
      </w:pPr>
      <w:r>
        <w:rPr/>
        <w:t>The following measures should be reported for switch transactions submitted by Competitive Retailers within the following time periods:</w:t>
      </w:r>
    </w:p>
    <w:p>
      <w:pPr>
        <w:pStyle w:val="Normal"/>
        <w:rPr/>
      </w:pPr>
      <w:r>
        <w:rPr/>
        <w:t>Period 1: 6/1/01 through 8/31/01 (12:01am through midnight)</w:t>
      </w:r>
    </w:p>
    <w:p>
      <w:pPr>
        <w:pStyle w:val="Normal"/>
        <w:rPr/>
      </w:pPr>
      <w:r>
        <w:rPr/>
        <w:t>Period 2: 9/1/01 through 9/7/01</w:t>
      </w:r>
    </w:p>
    <w:p>
      <w:pPr>
        <w:pStyle w:val="Normal"/>
        <w:rPr/>
      </w:pPr>
      <w:r>
        <w:rPr/>
        <w:t>Period 3: 9/8/01 through 9/14/01</w:t>
      </w:r>
    </w:p>
    <w:p>
      <w:pPr>
        <w:pStyle w:val="Normal"/>
        <w:rPr/>
      </w:pPr>
      <w:r>
        <w:rPr/>
        <w:t>Period 4: 9/15/01 through 9/21/01</w:t>
      </w:r>
    </w:p>
    <w:p>
      <w:pPr>
        <w:pStyle w:val="Normal"/>
        <w:rPr/>
      </w:pPr>
      <w:r>
        <w:rPr/>
        <w:t>Period 5: 9/22/01 through 9/28/01</w:t>
      </w:r>
    </w:p>
    <w:p>
      <w:pPr>
        <w:pStyle w:val="Heading3"/>
        <w:ind w:hanging="0" w:start="0"/>
        <w:rPr>
          <w:sz w:val="20"/>
        </w:rPr>
      </w:pPr>
      <w:r>
        <w:rPr>
          <w:sz w:val="20"/>
        </w:rPr>
        <w:t>Period 6: 9/29/01 through 10/5/01</w:t>
      </w:r>
    </w:p>
    <w:p>
      <w:pPr>
        <w:pStyle w:val="Normal"/>
        <w:rPr/>
      </w:pPr>
      <w:r>
        <w:rPr/>
        <w:t>Period 7: 10/6/01 through 10/12/01</w:t>
      </w:r>
    </w:p>
    <w:p>
      <w:pPr>
        <w:pStyle w:val="Normal"/>
        <w:rPr/>
      </w:pPr>
      <w:r>
        <w:rPr/>
        <w:t>Period 8: 10/13/01 through 10/19/01</w:t>
      </w:r>
    </w:p>
    <w:p>
      <w:pPr>
        <w:pStyle w:val="Heading3"/>
        <w:ind w:hanging="0" w:start="0"/>
        <w:rPr>
          <w:sz w:val="20"/>
        </w:rPr>
      </w:pPr>
      <w:r>
        <w:rPr>
          <w:sz w:val="20"/>
        </w:rPr>
        <w:t>Period 9: 10/20/01 through 10/26/01</w:t>
      </w:r>
    </w:p>
    <w:p>
      <w:pPr>
        <w:pStyle w:val="Normal"/>
        <w:rPr/>
      </w:pPr>
      <w:r>
        <w:rPr/>
        <w:t>Period 10: 10/27/01 through 11/2/01</w:t>
      </w:r>
    </w:p>
    <w:p>
      <w:pPr>
        <w:pStyle w:val="Normal"/>
        <w:rPr/>
      </w:pPr>
      <w:r>
        <w:rPr/>
      </w:r>
    </w:p>
    <w:p>
      <w:pPr>
        <w:pStyle w:val="Normal"/>
        <w:jc w:val="both"/>
        <w:rPr>
          <w:b/>
        </w:rPr>
      </w:pPr>
      <w:r>
        <w:rPr>
          <w:b/>
        </w:rPr>
        <w:t>Service Areas to be reported:</w:t>
      </w:r>
    </w:p>
    <w:p>
      <w:pPr>
        <w:pStyle w:val="Normal"/>
        <w:jc w:val="both"/>
        <w:rPr/>
      </w:pPr>
      <w:r>
        <w:rPr/>
        <w:t>Each Competitive Retailer should submit the following measures for each TDSP Service Area in which they do business.</w:t>
      </w:r>
    </w:p>
    <w:p>
      <w:pPr>
        <w:pStyle w:val="Normal"/>
        <w:jc w:val="both"/>
        <w:rPr/>
      </w:pPr>
      <w:r>
        <w:rPr/>
      </w:r>
    </w:p>
    <w:p>
      <w:pPr>
        <w:pStyle w:val="Normal"/>
        <w:jc w:val="both"/>
        <w:rPr>
          <w:b/>
        </w:rPr>
      </w:pPr>
      <w:r>
        <w:rPr>
          <w:b/>
        </w:rPr>
        <w:t>Cumulative Measures to be reported:</w:t>
      </w:r>
    </w:p>
    <w:p>
      <w:pPr>
        <w:pStyle w:val="BodyText2"/>
        <w:rPr>
          <w:sz w:val="20"/>
        </w:rPr>
      </w:pPr>
      <w:r>
        <w:rPr>
          <w:sz w:val="20"/>
        </w:rPr>
        <w:t>A calculation of cumulative measurements should be submitted for Time Periods 2-10.  Please see the example reporting template.</w:t>
      </w:r>
    </w:p>
    <w:p>
      <w:pPr>
        <w:pStyle w:val="Normal"/>
        <w:jc w:val="both"/>
        <w:rPr>
          <w:sz w:val="20"/>
        </w:rPr>
      </w:pPr>
      <w:r>
        <w:rPr>
          <w:sz w:val="20"/>
        </w:rPr>
      </w:r>
    </w:p>
    <w:p>
      <w:pPr>
        <w:pStyle w:val="BodyText"/>
        <w:rPr>
          <w:sz w:val="20"/>
        </w:rPr>
      </w:pPr>
      <w:r>
        <w:rPr>
          <w:sz w:val="20"/>
        </w:rPr>
        <w:t>Definition of “Protocol” Timelines to determine timely receipt of transactions (X.b measures):</w:t>
      </w:r>
    </w:p>
    <w:p>
      <w:pPr>
        <w:pStyle w:val="Normal"/>
        <w:jc w:val="both"/>
        <w:rPr/>
      </w:pPr>
      <w:r>
        <w:rPr/>
        <w:t>The following measures are to be used to determine whether a transaction has been received “within Protocols”:</w:t>
      </w:r>
    </w:p>
    <w:p>
      <w:pPr>
        <w:pStyle w:val="Normal"/>
        <w:jc w:val="both"/>
        <w:rPr/>
      </w:pPr>
      <w:r>
        <w:rPr/>
        <w:t>814_05: five business days after submission of the switch request (814_01), counting the date of 814_01 submission as the first Business Day.</w:t>
      </w:r>
    </w:p>
    <w:p>
      <w:pPr>
        <w:pStyle w:val="Normal"/>
        <w:jc w:val="both"/>
        <w:rPr/>
      </w:pPr>
      <w:r>
        <w:rPr/>
        <w:t>867_02: five business days after submission of the switch request (814_01), counting the date of 814_01 submission as the first Business Day.</w:t>
      </w:r>
    </w:p>
    <w:p>
      <w:pPr>
        <w:pStyle w:val="Normal"/>
        <w:jc w:val="both"/>
        <w:rPr/>
      </w:pPr>
      <w:r>
        <w:rPr/>
        <w:t>867_03: five business days after scheduled read date on the TDSP’s published meter reading schedule, counting the scheduled read date as the first Business Day.</w:t>
      </w:r>
    </w:p>
    <w:p>
      <w:pPr>
        <w:pStyle w:val="Normal"/>
        <w:jc w:val="both"/>
        <w:rPr/>
      </w:pPr>
      <w:r>
        <w:rPr/>
        <w:t>867_04: five business days after scheduled read date associated with the meter reading cycle on the 814_05, counting the scheduled read date as the first Business Day.</w:t>
      </w:r>
    </w:p>
    <w:p>
      <w:pPr>
        <w:pStyle w:val="Normal"/>
        <w:jc w:val="both"/>
        <w:rPr/>
      </w:pPr>
      <w:r>
        <w:rPr/>
        <w:t>810_02: five business days after scheduled read date associated with the meter reading cycle on the 814_05, counting the scheduled read date as the first Business Day.</w:t>
      </w:r>
    </w:p>
    <w:p>
      <w:pPr>
        <w:pStyle w:val="Normal"/>
        <w:jc w:val="both"/>
        <w:rPr/>
      </w:pPr>
      <w:r>
        <w:rPr/>
      </w:r>
    </w:p>
    <w:p>
      <w:pPr>
        <w:pStyle w:val="BodyText2"/>
        <w:rPr>
          <w:sz w:val="20"/>
        </w:rPr>
      </w:pPr>
      <w:r>
        <w:rPr>
          <w:sz w:val="20"/>
        </w:rPr>
        <w:t>Any transaction received prior to the date required by Protocols should be included in both the numerator and denominator of the following measures.</w:t>
      </w:r>
    </w:p>
    <w:p>
      <w:pPr>
        <w:pStyle w:val="Normal"/>
        <w:jc w:val="both"/>
        <w:rPr>
          <w:sz w:val="20"/>
        </w:rPr>
      </w:pPr>
      <w:r>
        <w:rPr>
          <w:sz w:val="20"/>
        </w:rPr>
      </w:r>
    </w:p>
    <w:p>
      <w:pPr>
        <w:pStyle w:val="Normal"/>
        <w:jc w:val="both"/>
        <w:rPr/>
      </w:pPr>
      <w:r>
        <w:rPr/>
        <w:t>These definitions represent the consensus opinion of Competitive Retailers to support this specific reporting requirement and should not be interpreted as a formal interpretation of the ERCOT Protocols.</w:t>
      </w:r>
    </w:p>
    <w:p>
      <w:pPr>
        <w:pStyle w:val="Normal"/>
        <w:jc w:val="both"/>
        <w:rPr/>
      </w:pPr>
      <w:r>
        <w:rPr/>
      </w:r>
    </w:p>
    <w:p>
      <w:pPr>
        <w:pStyle w:val="Heading5"/>
        <w:ind w:hanging="0" w:start="0"/>
        <w:rPr>
          <w:sz w:val="20"/>
        </w:rPr>
      </w:pPr>
      <w:r>
        <w:rPr>
          <w:sz w:val="20"/>
        </w:rPr>
        <w:t>Definition of “Report Date”</w:t>
      </w:r>
    </w:p>
    <w:p>
      <w:pPr>
        <w:pStyle w:val="Normal"/>
        <w:jc w:val="both"/>
        <w:rPr>
          <w:sz w:val="20"/>
        </w:rPr>
      </w:pPr>
      <w:r>
        <w:rPr>
          <w:sz w:val="20"/>
        </w:rPr>
      </w:r>
    </w:p>
    <w:p>
      <w:pPr>
        <w:pStyle w:val="Normal"/>
        <w:jc w:val="both"/>
        <w:rPr/>
      </w:pPr>
      <w:r>
        <w:rPr/>
        <w:t xml:space="preserve">The “Report Date” is defined as: 10/19/01 for the 10/31/01 Draft Report and 11/9/01 for the 11/15/01 Report. All measurements shall be reported for transactions sent or received as of the close of business on the Report Date.  </w:t>
      </w:r>
    </w:p>
    <w:p>
      <w:pPr>
        <w:pStyle w:val="Normal"/>
        <w:jc w:val="both"/>
        <w:rPr/>
      </w:pPr>
      <w:r>
        <w:rPr/>
      </w:r>
    </w:p>
    <w:p>
      <w:pPr>
        <w:pStyle w:val="Normal"/>
        <w:jc w:val="both"/>
        <w:rPr/>
      </w:pPr>
      <w:r>
        <w:rPr/>
      </w:r>
    </w:p>
    <w:p>
      <w:pPr>
        <w:pStyle w:val="Heading4"/>
        <w:pBdr>
          <w:bottom w:val="single" w:sz="4" w:space="1" w:color="000000"/>
        </w:pBdr>
        <w:ind w:hanging="0" w:start="0"/>
        <w:rPr>
          <w:sz w:val="20"/>
        </w:rPr>
      </w:pPr>
      <w:r>
        <w:rPr>
          <w:sz w:val="20"/>
        </w:rPr>
        <w:t>Measures to be Calculated</w:t>
      </w:r>
    </w:p>
    <w:p>
      <w:pPr>
        <w:pStyle w:val="Normal"/>
        <w:rPr>
          <w:sz w:val="20"/>
        </w:rPr>
      </w:pPr>
      <w:r>
        <w:rPr>
          <w:sz w:val="20"/>
        </w:rPr>
      </w:r>
    </w:p>
    <w:p>
      <w:pPr>
        <w:pStyle w:val="Normal"/>
        <w:rPr/>
      </w:pPr>
      <w:r>
        <w:rPr/>
      </w:r>
    </w:p>
    <w:p>
      <w:pPr>
        <w:pStyle w:val="Heading2"/>
        <w:rPr/>
      </w:pPr>
      <w:r>
        <w:rPr>
          <w:i w:val="false"/>
          <w:sz w:val="20"/>
        </w:rPr>
        <w:t xml:space="preserve">1.  </w:t>
      </w:r>
      <w:r>
        <w:rPr>
          <w:b/>
          <w:i w:val="false"/>
          <w:sz w:val="20"/>
        </w:rPr>
        <w:tab/>
        <w:t xml:space="preserve">Switching – </w:t>
      </w:r>
      <w:r>
        <w:rPr>
          <w:i w:val="false"/>
          <w:sz w:val="20"/>
        </w:rPr>
        <w:t>measures the percentage of ESIs for which a competitive retailer (CR) has received all expected transactions, up to and including the 867_02 (Historical Usage) and 814_05 (Premise Info &amp; Enrollment Response).  Ratio is the number of such transactions received, divided by the number expected.  The “Number Expected” is defined as those 814_01s submitted in the Time Period and submitted at least 5 business days before the Report Date, less 814_02s, less 814_08s. Calculated based upon:</w:t>
      </w:r>
    </w:p>
    <w:p>
      <w:pPr>
        <w:pStyle w:val="Normal"/>
        <w:ind w:hanging="360" w:start="360" w:end="0"/>
        <w:jc w:val="both"/>
        <w:rPr/>
      </w:pPr>
      <w:r>
        <w:rPr>
          <w:b/>
        </w:rPr>
        <w:tab/>
        <w:t xml:space="preserve">1a.  </w:t>
      </w:r>
      <w:r>
        <w:rPr/>
        <w:t>Receipt of transactions, without regard to timeliness.</w:t>
      </w:r>
    </w:p>
    <w:p>
      <w:pPr>
        <w:pStyle w:val="Normal"/>
        <w:ind w:hanging="360" w:start="360" w:end="0"/>
        <w:jc w:val="both"/>
        <w:rPr/>
      </w:pPr>
      <w:r>
        <w:rPr>
          <w:b/>
        </w:rPr>
        <w:tab/>
        <w:t>1b.</w:t>
      </w:r>
      <w:r>
        <w:rPr/>
        <w:t xml:space="preserve">  Receipt of transactions within relevant protocol-prescribed timeframe.</w:t>
      </w:r>
    </w:p>
    <w:p>
      <w:pPr>
        <w:pStyle w:val="Normal"/>
        <w:ind w:hanging="360" w:start="360" w:end="0"/>
        <w:jc w:val="both"/>
        <w:rPr>
          <w:b/>
        </w:rPr>
      </w:pPr>
      <w:r>
        <w:rPr>
          <w:b/>
        </w:rPr>
      </w:r>
    </w:p>
    <w:p>
      <w:pPr>
        <w:pStyle w:val="Normal"/>
        <w:ind w:hanging="360" w:start="360" w:end="0"/>
        <w:jc w:val="both"/>
        <w:rPr/>
      </w:pPr>
      <w:r>
        <w:rPr>
          <w:b/>
        </w:rPr>
        <w:t>2.</w:t>
        <w:tab/>
        <w:t xml:space="preserve">Initial Meter Read – </w:t>
      </w:r>
      <w:r>
        <w:rPr/>
        <w:t>measures the percentage of ESIs for which a CR has received all expected transactions, up to and including the 867_04. Ratio is the number of such transactions received, divided by the number expected. The “Number Expected” is defined as those 814_01s submitted in the Time Period, where the scheduled meter reading date on the 814_05 is at least 5 business days before the Report Date, less 814_02s, less 814_08s. Calculated based upon:</w:t>
      </w:r>
    </w:p>
    <w:p>
      <w:pPr>
        <w:pStyle w:val="Normal"/>
        <w:ind w:hanging="360" w:start="360" w:end="0"/>
        <w:jc w:val="both"/>
        <w:rPr/>
      </w:pPr>
      <w:r>
        <w:rPr>
          <w:b/>
        </w:rPr>
        <w:tab/>
        <w:t xml:space="preserve">2a.  </w:t>
      </w:r>
      <w:r>
        <w:rPr/>
        <w:t>Receipt of transactions, without regard to timeliness.</w:t>
      </w:r>
    </w:p>
    <w:p>
      <w:pPr>
        <w:pStyle w:val="Normal"/>
        <w:ind w:hanging="360" w:start="360" w:end="0"/>
        <w:jc w:val="both"/>
        <w:rPr/>
      </w:pPr>
      <w:r>
        <w:rPr>
          <w:b/>
        </w:rPr>
        <w:tab/>
        <w:t>2b.</w:t>
      </w:r>
      <w:r>
        <w:rPr/>
        <w:t xml:space="preserve">  Receipt of transactions within relevant protocol-prescribed timeframe.</w:t>
      </w:r>
    </w:p>
    <w:p>
      <w:pPr>
        <w:pStyle w:val="Normal"/>
        <w:ind w:hanging="360" w:start="360" w:end="0"/>
        <w:jc w:val="both"/>
        <w:rPr>
          <w:b/>
        </w:rPr>
      </w:pPr>
      <w:r>
        <w:rPr>
          <w:b/>
        </w:rPr>
      </w:r>
    </w:p>
    <w:p>
      <w:pPr>
        <w:pStyle w:val="Normal"/>
        <w:ind w:hanging="360" w:start="360" w:end="0"/>
        <w:jc w:val="both"/>
        <w:rPr/>
      </w:pPr>
      <w:r>
        <w:rPr>
          <w:b/>
        </w:rPr>
        <w:t>3.</w:t>
        <w:tab/>
        <w:t xml:space="preserve">Monthly Usage – </w:t>
      </w:r>
      <w:r>
        <w:rPr/>
        <w:t>measures the percentage of ESIs for which a CR has received all expected transactions, up to and including the 867_03 (Monthly Usage). Ratio is the number of such transactions received, divided by the number expected. The “Number Expected” is defined as those 814_01s submitted in the Time Period, where the first scheduled meter reading date (after the initial meter reading date) for the meter reading cycle on the 814_05 is at least 5 business days before the Report Date, less 814_02s, less 814_08s Calculated based upon:</w:t>
      </w:r>
    </w:p>
    <w:p>
      <w:pPr>
        <w:pStyle w:val="Normal"/>
        <w:ind w:hanging="360" w:start="360" w:end="0"/>
        <w:jc w:val="both"/>
        <w:rPr/>
      </w:pPr>
      <w:r>
        <w:rPr>
          <w:b/>
        </w:rPr>
        <w:tab/>
        <w:t xml:space="preserve">3a.  </w:t>
      </w:r>
      <w:r>
        <w:rPr/>
        <w:t>Receipt of transactions, without regard to timeliness.</w:t>
      </w:r>
    </w:p>
    <w:p>
      <w:pPr>
        <w:pStyle w:val="Normal"/>
        <w:ind w:hanging="360" w:start="360" w:end="0"/>
        <w:jc w:val="both"/>
        <w:rPr/>
      </w:pPr>
      <w:r>
        <w:rPr>
          <w:b/>
        </w:rPr>
        <w:tab/>
        <w:t>3b.</w:t>
      </w:r>
      <w:r>
        <w:rPr/>
        <w:t xml:space="preserve">  Receipt of transactions within relevant protocol-prescribed timeframe.</w:t>
      </w:r>
    </w:p>
    <w:p>
      <w:pPr>
        <w:pStyle w:val="Normal"/>
        <w:ind w:hanging="360" w:start="360" w:end="0"/>
        <w:jc w:val="both"/>
        <w:rPr/>
      </w:pPr>
      <w:r>
        <w:rPr/>
      </w:r>
    </w:p>
    <w:p>
      <w:pPr>
        <w:pStyle w:val="Normal"/>
        <w:ind w:hanging="360" w:start="360" w:end="0"/>
        <w:jc w:val="both"/>
        <w:rPr/>
      </w:pPr>
      <w:r>
        <w:rPr>
          <w:b/>
        </w:rPr>
        <w:t>4.</w:t>
        <w:tab/>
        <w:t xml:space="preserve">Transmission and Distribution Service Provider (TDSP) to CR Invoice – </w:t>
      </w:r>
      <w:r>
        <w:rPr/>
        <w:t>measures the percentage of ESIs for which a CR has received all expected transactions, up to and including the 810_02 (TDSP to CR Invoice). Ratio is the number of such transactions received, divided by the number expected. The “Number Expected” is defined the same as in Measure 4.  Calculated based upon:</w:t>
      </w:r>
    </w:p>
    <w:p>
      <w:pPr>
        <w:pStyle w:val="Normal"/>
        <w:ind w:hanging="360" w:start="360" w:end="0"/>
        <w:jc w:val="both"/>
        <w:rPr/>
      </w:pPr>
      <w:r>
        <w:rPr>
          <w:b/>
        </w:rPr>
        <w:tab/>
        <w:t xml:space="preserve">4a.  </w:t>
      </w:r>
      <w:r>
        <w:rPr/>
        <w:t>Receipt of transactions, without regard to timeliness.</w:t>
      </w:r>
    </w:p>
    <w:p>
      <w:pPr>
        <w:pStyle w:val="Normal"/>
        <w:ind w:hanging="360" w:start="360" w:end="0"/>
        <w:jc w:val="both"/>
        <w:rPr/>
      </w:pPr>
      <w:r>
        <w:rPr>
          <w:b/>
        </w:rPr>
        <w:tab/>
        <w:t>4b.</w:t>
      </w:r>
      <w:r>
        <w:rPr/>
        <w:t xml:space="preserve">  Receipt of transactions within relevant protocol-prescribed timeframe.</w:t>
      </w:r>
    </w:p>
    <w:p>
      <w:pPr>
        <w:pStyle w:val="Normal"/>
        <w:ind w:hanging="360" w:start="360" w:end="0"/>
        <w:jc w:val="both"/>
        <w:rPr/>
      </w:pPr>
      <w:r>
        <w:rPr/>
      </w:r>
    </w:p>
    <w:p>
      <w:pPr>
        <w:pStyle w:val="Normal"/>
        <w:ind w:hanging="360" w:start="360" w:end="0"/>
        <w:jc w:val="both"/>
        <w:rPr/>
      </w:pPr>
      <w:r>
        <w:rPr/>
      </w:r>
    </w:p>
    <w:p>
      <w:pPr>
        <w:pStyle w:val="Normal"/>
        <w:ind w:hanging="360" w:start="360" w:end="0"/>
        <w:jc w:val="both"/>
        <w:rPr>
          <w:b/>
        </w:rPr>
      </w:pPr>
      <w:r>
        <w:rPr>
          <w:b/>
        </w:rPr>
        <w:t>Other Comments:</w:t>
      </w:r>
    </w:p>
    <w:p>
      <w:pPr>
        <w:pStyle w:val="Normal"/>
        <w:ind w:start="360" w:end="0"/>
        <w:jc w:val="both"/>
        <w:rPr/>
      </w:pPr>
      <w:r>
        <w:rPr/>
        <w:t>If a transaction is rejected by the Competitive Retailer (e.g., an 810_02), then that transaction should still be considered as part of the “Number Expected”.</w:t>
      </w:r>
    </w:p>
    <w:p>
      <w:pPr>
        <w:pStyle w:val="Normal"/>
        <w:ind w:start="360" w:end="0"/>
        <w:jc w:val="both"/>
        <w:rPr/>
      </w:pPr>
      <w:r>
        <w:rPr/>
      </w:r>
    </w:p>
    <w:p>
      <w:pPr>
        <w:pStyle w:val="Normal"/>
        <w:ind w:start="360" w:end="0"/>
        <w:jc w:val="both"/>
        <w:rPr/>
      </w:pPr>
      <w:r>
        <w:rPr/>
        <w:t>If the “Number Expected” for any measure is zero, the result should be reported as “Not Applicable”.  If the “Number Received” for any measure is zero, the result should be reported as “0%”.</w:t>
      </w:r>
      <w:r>
        <w:br w:type="page"/>
      </w:r>
    </w:p>
    <w:p>
      <w:pPr>
        <w:pStyle w:val="Normal"/>
        <w:ind w:start="360" w:end="0"/>
        <w:jc w:val="both"/>
        <w:rPr/>
      </w:pPr>
      <w:r>
        <w:rPr/>
      </w:r>
    </w:p>
    <w:p>
      <w:pPr>
        <w:pStyle w:val="Heading5"/>
        <w:ind w:hanging="0" w:start="-540" w:end="0"/>
        <w:rPr>
          <w:sz w:val="20"/>
        </w:rPr>
      </w:pPr>
      <w:r>
        <w:rPr>
          <w:sz w:val="20"/>
        </w:rPr>
        <w:t>Reporting Template</w:t>
      </w:r>
    </w:p>
    <w:p>
      <w:pPr>
        <w:pStyle w:val="Normal"/>
        <w:ind w:firstLine="540" w:start="-540" w:end="0"/>
        <w:rPr>
          <w:sz w:val="20"/>
        </w:rPr>
      </w:pPr>
      <w:r>
        <w:rPr>
          <w:sz w:val="20"/>
        </w:rPr>
      </w:r>
    </w:p>
    <w:p>
      <w:pPr>
        <w:pStyle w:val="Normal"/>
        <w:ind w:firstLine="540" w:start="-540" w:end="0"/>
        <w:rPr/>
      </w:pPr>
      <w:r>
        <w:rPr/>
      </w:r>
    </w:p>
    <w:p>
      <w:pPr>
        <w:pStyle w:val="Heading7"/>
        <w:ind w:hanging="0" w:start="-540" w:end="0"/>
        <w:rPr/>
      </w:pPr>
      <w:r>
        <w:rPr/>
        <w:t xml:space="preserve">Competitive Retailer: </w:t>
        <w:tab/>
        <w:t>Enron Energy Services</w:t>
      </w:r>
    </w:p>
    <w:p>
      <w:pPr>
        <w:pStyle w:val="Heading8"/>
        <w:rPr/>
      </w:pPr>
      <w:r>
        <w:rPr/>
        <w:t>TDSP Service Area:</w:t>
        <w:tab/>
        <w:t>TXU</w:t>
      </w:r>
    </w:p>
    <w:p>
      <w:pPr>
        <w:pStyle w:val="Heading7"/>
        <w:ind w:hanging="0" w:start="-540" w:end="0"/>
        <w:rPr/>
      </w:pPr>
      <w:r>
        <w:rPr/>
        <w:t>Report Date:</w:t>
        <w:tab/>
        <w:tab/>
        <w:t>10/31/01</w:t>
      </w:r>
    </w:p>
    <w:p>
      <w:pPr>
        <w:pStyle w:val="Normal"/>
        <w:ind w:start="360" w:end="0"/>
        <w:jc w:val="both"/>
        <w:rPr>
          <w:b/>
        </w:rPr>
      </w:pPr>
      <w:r>
        <w:rPr>
          <w:b/>
        </w:rPr>
      </w:r>
    </w:p>
    <w:p>
      <w:pPr>
        <w:pStyle w:val="Normal"/>
        <w:ind w:start="360" w:end="0"/>
        <w:jc w:val="both"/>
        <w:rPr>
          <w:b/>
        </w:rPr>
      </w:pPr>
      <w:r>
        <w:rPr>
          <w:b/>
        </w:rPr>
      </w:r>
    </w:p>
    <w:p>
      <w:pPr>
        <w:pStyle w:val="Normal"/>
        <w:ind w:start="360" w:end="0"/>
        <w:jc w:val="both"/>
        <w:rPr/>
      </w:pPr>
      <w:r>
        <w:rPr/>
      </w:r>
    </w:p>
    <w:tbl>
      <w:tblPr>
        <w:tblW w:w="9288" w:type="dxa"/>
        <w:jc w:val="start"/>
        <w:tblInd w:w="-432" w:type="dxa"/>
        <w:tblLayout w:type="fixed"/>
        <w:tblCellMar>
          <w:top w:w="0" w:type="dxa"/>
          <w:start w:w="108" w:type="dxa"/>
          <w:bottom w:w="0" w:type="dxa"/>
          <w:end w:w="108" w:type="dxa"/>
        </w:tblCellMar>
      </w:tblPr>
      <w:tblGrid>
        <w:gridCol w:w="1416"/>
        <w:gridCol w:w="984"/>
        <w:gridCol w:w="984"/>
        <w:gridCol w:w="984"/>
        <w:gridCol w:w="984"/>
        <w:gridCol w:w="984"/>
        <w:gridCol w:w="984"/>
        <w:gridCol w:w="984"/>
        <w:gridCol w:w="984"/>
      </w:tblGrid>
      <w:tr>
        <w:trPr/>
        <w:tc>
          <w:tcPr>
            <w:tcW w:w="1416"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Time Period</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1a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1b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3a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3b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4a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4b</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70%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80%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50%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63.6%</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80%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50%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N/A</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58.3%</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80%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50%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984"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r>
    </w:tbl>
    <w:p>
      <w:pPr>
        <w:pStyle w:val="Normal"/>
        <w:ind w:start="360" w:end="0"/>
        <w:jc w:val="both"/>
        <w:rPr/>
      </w:pPr>
      <w:r>
        <w:rPr/>
      </w:r>
    </w:p>
    <w:p>
      <w:pPr>
        <w:pStyle w:val="Normal"/>
        <w:ind w:start="360" w:end="0"/>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PilotStatusReportAtt1.doc</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PROJECT NO. 22834</w:t>
    </w:r>
  </w:p>
  <w:p>
    <w:pPr>
      <w:pStyle w:val="Header"/>
      <w:jc w:val="center"/>
      <w:rPr>
        <w:b/>
        <w:sz w:val="24"/>
      </w:rPr>
    </w:pPr>
    <w:r>
      <w:rPr>
        <w:b/>
        <w:sz w:val="24"/>
      </w:rPr>
    </w:r>
  </w:p>
  <w:p>
    <w:pPr>
      <w:pStyle w:val="Header"/>
      <w:jc w:val="center"/>
      <w:rPr>
        <w:b/>
        <w:sz w:val="24"/>
      </w:rPr>
    </w:pPr>
    <w:r>
      <w:rPr>
        <w:b/>
        <w:sz w:val="24"/>
      </w:rPr>
      <w:t>Enron Energy Services Pilot Status Report Pursuant to SR 25.431(j)(3)(B)</w:t>
    </w:r>
  </w:p>
  <w:p>
    <w:pPr>
      <w:pStyle w:val="Header"/>
      <w:jc w:val="center"/>
      <w:rPr>
        <w:b/>
        <w:sz w:val="24"/>
      </w:rPr>
    </w:pPr>
    <w:r>
      <w:rPr>
        <w:b/>
        <w:sz w:val="24"/>
      </w:rPr>
      <w:t>Attachment 1</w:t>
    </w:r>
  </w:p>
  <w:p>
    <w:pPr>
      <w:pStyle w:val="Header"/>
      <w:jc w:val="center"/>
      <w:rPr>
        <w:b/>
        <w:sz w:val="24"/>
      </w:rPr>
    </w:pPr>
    <w:r>
      <w:rPr>
        <w:b/>
        <w:sz w:val="24"/>
      </w:rPr>
      <w:t>October 31,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360" w:start="360" w:end="0"/>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rPr>
  </w:style>
  <w:style w:type="paragraph" w:styleId="Heading7">
    <w:name w:val="heading 7"/>
    <w:basedOn w:val="Normal"/>
    <w:next w:val="Normal"/>
    <w:qFormat/>
    <w:pPr>
      <w:keepNext w:val="true"/>
      <w:numPr>
        <w:ilvl w:val="6"/>
        <w:numId w:val="1"/>
      </w:numPr>
      <w:jc w:val="both"/>
      <w:outlineLvl w:val="6"/>
    </w:pPr>
    <w:rPr>
      <w:b/>
    </w:rPr>
  </w:style>
  <w:style w:type="paragraph" w:styleId="Heading8">
    <w:name w:val="heading 8"/>
    <w:basedOn w:val="Normal"/>
    <w:next w:val="Normal"/>
    <w:qFormat/>
    <w:pPr>
      <w:keepNext w:val="true"/>
      <w:numPr>
        <w:ilvl w:val="7"/>
        <w:numId w:val="1"/>
      </w:numPr>
      <w:ind w:hanging="0" w:start="-540" w:end="0"/>
      <w:jc w:val="both"/>
      <w:outlineLvl w:val="7"/>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nie.corona@puc.state.tx.u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2001-11-15T18:57:00Z</dcterms:created>
  <dc:creator>Connect Team</dc:creator>
  <dc:description/>
  <dc:language>en-CA</dc:language>
  <cp:lastModifiedBy>rfite</cp:lastModifiedBy>
  <dcterms:modified xsi:type="dcterms:W3CDTF">2001-11-15T18:57:00Z</dcterms:modified>
  <cp:revision>2</cp:revision>
  <dc:subject/>
  <dc:title>Project No</dc:title>
</cp:coreProperties>
</file>