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rPr>
          <w:b/>
          <w:sz w:val="24"/>
        </w:rPr>
      </w:pPr>
      <w:r>
        <w:rPr>
          <w:b/>
          <w:sz w:val="24"/>
        </w:rPr>
        <w:t xml:space="preserve">Enron Energy Services, Inc. is participating in the Texas Pilot Program behind TXU service territory.  We began submitting our PA transactions the week of August 13 2001 and our 814_01 enrollment requests for the pilot beginning on August 29, 2001.  We are serving the following customer classes.  We specifically chose a small representative group of customers to participate. We intentionally delayed submitting these enrollments in order to allow for pilot issues to present themselves and be resolved.  </w:t>
      </w:r>
    </w:p>
    <w:p>
      <w:pPr>
        <w:pStyle w:val="Header"/>
        <w:rPr>
          <w:b/>
          <w:sz w:val="24"/>
        </w:rPr>
      </w:pPr>
      <w:r>
        <w:rPr>
          <w:b/>
          <w:sz w:val="24"/>
        </w:rPr>
      </w:r>
    </w:p>
    <w:tbl>
      <w:tblPr>
        <w:tblW w:w="898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8980"/>
      </w:tblGrid>
      <w:tr>
        <w:trPr>
          <w:trHeight w:val="285" w:hRule="atLeast"/>
        </w:trPr>
        <w:tc>
          <w:tcPr>
            <w:tcW w:w="8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Helv;Arial" w:hAnsi="Helv;Arial" w:eastAsia="Arial Unicode MS" w:cs="Arial"/>
                <w:sz w:val="16"/>
                <w:szCs w:val="16"/>
              </w:rPr>
            </w:pPr>
            <w:r>
              <w:rPr>
                <w:rFonts w:eastAsia="Helv;Arial" w:cs="Helv;Arial" w:ascii="Helv;Arial" w:hAnsi="Helv;Arial"/>
                <w:sz w:val="16"/>
                <w:szCs w:val="16"/>
              </w:rPr>
              <w:t xml:space="preserve">    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GENERAL SERVICE RATE - Large Secondary </w:t>
            </w:r>
            <w:r>
              <w:rPr>
                <w:rFonts w:cs="Arial" w:ascii="Helv;Arial" w:hAnsi="Helv;Arial"/>
                <w:b/>
                <w:bCs/>
                <w:sz w:val="16"/>
                <w:szCs w:val="16"/>
              </w:rPr>
              <w:t>IDR METER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8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Helv;Arial" w:hAnsi="Helv;Arial" w:eastAsia="Arial Unicode MS" w:cs="Arial"/>
                <w:sz w:val="16"/>
                <w:szCs w:val="16"/>
              </w:rPr>
            </w:pPr>
            <w:r>
              <w:rPr>
                <w:rFonts w:eastAsia="Helv;Arial" w:cs="Helv;Arial" w:ascii="Helv;Arial" w:hAnsi="Helv;Arial"/>
                <w:sz w:val="16"/>
                <w:szCs w:val="16"/>
              </w:rPr>
              <w:t xml:space="preserve">    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GENERAL SERVICE RATE - Large Secondary </w:t>
            </w:r>
            <w:r>
              <w:rPr>
                <w:rFonts w:cs="Arial" w:ascii="Helv;Arial" w:hAnsi="Helv;Arial"/>
                <w:b/>
                <w:bCs/>
                <w:sz w:val="16"/>
                <w:szCs w:val="16"/>
              </w:rPr>
              <w:t>NON IDR METER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 </w:t>
            </w:r>
          </w:p>
        </w:tc>
      </w:tr>
      <w:tr>
        <w:trPr>
          <w:trHeight w:val="270" w:hRule="atLeast"/>
        </w:trPr>
        <w:tc>
          <w:tcPr>
            <w:tcW w:w="8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Helv;Arial" w:hAnsi="Helv;Arial" w:eastAsia="Arial Unicode MS" w:cs="Arial"/>
                <w:sz w:val="16"/>
                <w:szCs w:val="16"/>
              </w:rPr>
            </w:pPr>
            <w:r>
              <w:rPr>
                <w:rFonts w:eastAsia="Helv;Arial" w:cs="Helv;Arial" w:ascii="Helv;Arial" w:hAnsi="Helv;Arial"/>
                <w:sz w:val="16"/>
                <w:szCs w:val="16"/>
              </w:rPr>
              <w:t xml:space="preserve">    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GENERAL SERVICE RATE - Large Secondary </w:t>
            </w:r>
            <w:r>
              <w:rPr>
                <w:rFonts w:cs="Arial" w:ascii="Helv;Arial" w:hAnsi="Helv;Arial"/>
                <w:b/>
                <w:bCs/>
                <w:color w:val="FF0000"/>
                <w:sz w:val="16"/>
                <w:szCs w:val="16"/>
              </w:rPr>
              <w:t>NEW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 </w:t>
            </w:r>
            <w:r>
              <w:rPr>
                <w:rFonts w:cs="Arial" w:ascii="Helv;Arial" w:hAnsi="Helv;Arial"/>
                <w:b/>
                <w:bCs/>
                <w:sz w:val="16"/>
                <w:szCs w:val="16"/>
              </w:rPr>
              <w:t>IDR METER</w:t>
            </w:r>
            <w:r>
              <w:rPr>
                <w:rFonts w:cs="Arial" w:ascii="Helv;Arial" w:hAnsi="Helv;Arial"/>
                <w:sz w:val="16"/>
                <w:szCs w:val="16"/>
              </w:rPr>
              <w:t xml:space="preserve"> </w:t>
            </w:r>
          </w:p>
        </w:tc>
      </w:tr>
    </w:tbl>
    <w:p>
      <w:pPr>
        <w:pStyle w:val="Header"/>
        <w:rPr>
          <w:b/>
          <w:sz w:val="24"/>
        </w:rPr>
      </w:pPr>
      <w:r>
        <w:rPr>
          <w:b/>
          <w:sz w:val="24"/>
        </w:rPr>
      </w:r>
    </w:p>
    <w:p>
      <w:pPr>
        <w:pStyle w:val="Head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PROJECT NO. 22834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Enron Energy Services Pilot Status Report Pursuant to SR 25.431(j)(3)(B)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Overview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October 31, 2001</w:t>
    </w:r>
  </w:p>
  <w:p>
    <w:pPr>
      <w:pStyle w:val="Header"/>
      <w:rPr>
        <w:b/>
        <w:sz w:val="24"/>
      </w:rPr>
    </w:pPr>
    <w:r>
      <w:rPr>
        <w:b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2001-11-26T14:50:00Z</dcterms:created>
  <dc:creator>rfite</dc:creator>
  <dc:description/>
  <dc:language>en-CA</dc:language>
  <cp:lastModifiedBy>rfite</cp:lastModifiedBy>
  <dcterms:modified xsi:type="dcterms:W3CDTF">2001-11-26T14:50:00Z</dcterms:modified>
  <cp:revision>4</cp:revision>
  <dc:subject/>
  <dc:title>Enron Energy Services, Inc</dc:title>
</cp:coreProperties>
</file>