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b/>
        </w:rPr>
      </w:pPr>
      <w:r>
        <w:rPr>
          <w:b/>
        </w:rPr>
        <w:t>VIA CERTIFIED MAIL - RETURN RECEIPT REQUESTED AND TELECOPY</w:t>
      </w:r>
    </w:p>
    <w:p>
      <w:pPr>
        <w:pStyle w:val="Normal"/>
        <w:rPr/>
      </w:pPr>
      <w:r>
        <w:rPr/>
      </w:r>
    </w:p>
    <w:p>
      <w:pPr>
        <w:pStyle w:val="00s"/>
        <w:keepLines/>
        <w:tabs>
          <w:tab w:val="clear" w:pos="720"/>
          <w:tab w:val="right" w:pos="7200" w:leader="none"/>
        </w:tabs>
        <w:spacing w:before="0" w:after="200"/>
        <w:rPr/>
      </w:pPr>
      <w:r>
        <w:rPr/>
        <w:t>Kinder Morgan Operating L.P. “C”</w:t>
        <w:br/>
        <w:t>c/o Kinder Morgan Energy Partners</w:t>
        <w:br/>
        <w:t>500 Dallas St., Suite 1000</w:t>
        <w:br/>
        <w:t>Houston, Texas 77002</w:t>
        <w:br/>
        <w:t>Attn: Assistant General Counsel</w:t>
        <w:br/>
        <w:t>Telecopy No.:  (713) 369-9499</w:t>
      </w:r>
    </w:p>
    <w:p>
      <w:pPr>
        <w:pStyle w:val="50s"/>
        <w:keepLines/>
        <w:ind w:hanging="720" w:start="720" w:end="0"/>
        <w:rPr>
          <w:b/>
        </w:rPr>
      </w:pPr>
      <w:r>
        <w:rPr>
          <w:b/>
        </w:rPr>
        <w:t>RE:</w:t>
        <w:tab/>
        <w:t>Coal Purchase Agreement by and between Blue Grass SynFuel, L.L.C. (Blue Grass) and Enron North America Corp. (ENA) (Blue Grass Coal Purchase Agreement) and Coal Purchase Agreement by and between Somerset SynFuel, L.P. (Somerset) and ENA (Somerset Coal Purchase Agreement)  (the Blue Grass Coal Purchase Agreement and the Somerset Coal Purchase Agreement collectively the "Coal Purchase Agreement")</w:t>
      </w:r>
    </w:p>
    <w:p>
      <w:pPr>
        <w:pStyle w:val="50s"/>
        <w:keepLines/>
        <w:ind w:hanging="0" w:end="0"/>
        <w:rPr/>
      </w:pPr>
      <w:r>
        <w:rPr/>
        <w:t>Dear Ladies and Gentlemen:</w:t>
      </w:r>
    </w:p>
    <w:p>
      <w:pPr>
        <w:pStyle w:val="50s"/>
        <w:keepLines/>
        <w:ind w:hanging="0" w:end="0"/>
        <w:rPr/>
      </w:pPr>
      <w:r>
        <w:rPr/>
        <w:tab/>
        <w:t>We have been advised that at the request of Blue Grass and Somerset, Kinder Morgan Operating L.P. "C" (Kinder Morgan) has supplied Coal Feedstock for processing at Blue Grass and Somerset Synthetic Fuel Facilities located at Kinder Morgan's Pier IX.  The purpose of this letter is to advise you that ENA is the exclusive supplier of Coal Feedstock to Blue Grass and Somerset.</w:t>
      </w:r>
    </w:p>
    <w:p>
      <w:pPr>
        <w:pStyle w:val="50s"/>
        <w:keepLines/>
        <w:ind w:hanging="0" w:end="0"/>
        <w:rPr/>
      </w:pPr>
      <w:r>
        <w:rPr/>
        <w:tab/>
        <w:t>Your business relationship is with ENASCO LLC as ENASCO's sub-operator under the Operating and Maintenance Sub-Contract (Blue Grass Facility) dated as of August 18, 2000 by and between ENASCO LLC as operator and Kinder Morgan as sub-operator and Operating and Maintenance Sub-Contract (Somerset Facility) dated as of August 18, 2000 by and between ENASCO LLC as operator and Kinder Morgan as sub-operator (the "Sub-Contracts").  Therefore, you have no power or authority to purchase coal for Blue Grass or Somerset or to direct actions of Kinder Morgan to prevent ENA from fulfilling its obligations under either Coal Purchase Agreement or otherwise.  We direct you to therefore refrain from any and all communications or directions with respect to purchase or delivery of coal to either Facility or any of the obligations of ENA, Blue Grass or Somerset under either Coal Purchase Agreement.</w:t>
      </w:r>
      <w:r>
        <w:br w:type="page"/>
      </w:r>
    </w:p>
    <w:p>
      <w:pPr>
        <w:pStyle w:val="50s"/>
        <w:keepLines/>
        <w:ind w:hanging="0" w:end="0"/>
        <w:rPr/>
      </w:pPr>
      <w:r>
        <w:rPr/>
        <w:tab/>
        <w:t>Moreover, you should not enter into or perform under any agreement with either Blue Grass or Somerset that is contrary to our supply of coal under each Coal Purchase Agreement.</w:t>
      </w:r>
    </w:p>
    <w:p>
      <w:pPr>
        <w:pStyle w:val="50s"/>
        <w:keepLines/>
        <w:ind w:hanging="0" w:end="0"/>
        <w:rPr/>
      </w:pPr>
      <w:r>
        <w:rPr/>
        <w:tab/>
        <w:tab/>
        <w:tab/>
        <w:tab/>
        <w:tab/>
        <w:tab/>
        <w:tab/>
        <w:t>Very truly yours,</w:t>
      </w:r>
    </w:p>
    <w:p>
      <w:pPr>
        <w:pStyle w:val="50s"/>
        <w:keepLines/>
        <w:ind w:hanging="0" w:end="0"/>
        <w:rPr/>
      </w:pPr>
      <w:r>
        <w:rPr/>
        <w:tab/>
        <w:tab/>
        <w:tab/>
        <w:tab/>
        <w:tab/>
        <w:tab/>
        <w:tab/>
        <w:t>Enron North America Corp.</w:t>
      </w:r>
    </w:p>
    <w:p>
      <w:pPr>
        <w:pStyle w:val="50s"/>
        <w:keepLines/>
        <w:ind w:hanging="0" w:end="0"/>
        <w:rPr/>
      </w:pPr>
      <w:r>
        <w:rPr/>
      </w:r>
    </w:p>
    <w:p>
      <w:pPr>
        <w:pStyle w:val="50s"/>
        <w:keepLines/>
        <w:ind w:hanging="0" w:end="0"/>
        <w:rPr/>
      </w:pPr>
      <w:r>
        <w:rPr/>
        <w:tab/>
        <w:tab/>
        <w:tab/>
        <w:tab/>
        <w:tab/>
        <w:tab/>
        <w:tab/>
      </w:r>
      <w:r>
        <w:rPr>
          <w:u w:val="single"/>
        </w:rPr>
        <w:tab/>
        <w:tab/>
        <w:tab/>
        <w:tab/>
        <w:br/>
        <w:br/>
      </w:r>
      <w:r>
        <w:rPr/>
        <w:t>cc:</w:t>
      </w:r>
      <w:r>
        <w:rPr>
          <w:u w:val="single"/>
        </w:rPr>
        <w:br/>
      </w:r>
      <w:r>
        <w:rPr/>
        <w:tab/>
        <w:t>Bruce Americus, Esq.</w:t>
        <w:br/>
        <w:tab/>
        <w:t>Steve Braverman, Esq.</w:t>
      </w:r>
    </w:p>
    <w:p>
      <w:pPr>
        <w:pStyle w:val="50s"/>
        <w:keepLines/>
        <w:spacing w:before="0" w:after="240"/>
        <w:ind w:hanging="0" w:end="0"/>
        <w:rPr>
          <w:u w:val="single"/>
        </w:rPr>
      </w:pPr>
      <w:r>
        <w:rPr>
          <w:u w:val="singl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lowerRoman"/>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lowerRoman"/>
      <w:lvlText w:val="(%9)"/>
      <w:lvlJc w:val="start"/>
      <w:pPr>
        <w:tabs>
          <w:tab w:val="num" w:pos="720"/>
        </w:tabs>
        <w:ind w:start="5760" w:hanging="72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caps/>
      <w:kern w:val="2"/>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kern w:val="2"/>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keepNext w:val="true"/>
      <w:numPr>
        <w:ilvl w:val="4"/>
        <w:numId w:val="1"/>
      </w:numPr>
      <w:spacing w:before="0" w:after="240"/>
      <w:outlineLvl w:val="4"/>
    </w:pPr>
    <w:rPr>
      <w:kern w:val="2"/>
    </w:rPr>
  </w:style>
  <w:style w:type="paragraph" w:styleId="Heading6">
    <w:name w:val="heading 6"/>
    <w:basedOn w:val="Normal"/>
    <w:next w:val="Normal"/>
    <w:qFormat/>
    <w:pPr>
      <w:keepNext w:val="true"/>
      <w:numPr>
        <w:ilvl w:val="5"/>
        <w:numId w:val="1"/>
      </w:numPr>
      <w:spacing w:before="0" w:after="240"/>
      <w:outlineLvl w:val="5"/>
    </w:pPr>
    <w:rPr/>
  </w:style>
  <w:style w:type="paragraph" w:styleId="Heading7">
    <w:name w:val="heading 7"/>
    <w:basedOn w:val="Normal"/>
    <w:next w:val="Normal"/>
    <w:qFormat/>
    <w:pPr>
      <w:keepNext w:val="true"/>
      <w:numPr>
        <w:ilvl w:val="6"/>
        <w:numId w:val="1"/>
      </w:numPr>
      <w:spacing w:before="0" w:after="240"/>
      <w:outlineLvl w:val="6"/>
    </w:pPr>
    <w:rPr>
      <w:kern w:val="2"/>
    </w:rPr>
  </w:style>
  <w:style w:type="paragraph" w:styleId="Heading8">
    <w:name w:val="heading 8"/>
    <w:basedOn w:val="Normal"/>
    <w:next w:val="Normal"/>
    <w:qFormat/>
    <w:pPr>
      <w:keepNext w:val="true"/>
      <w:numPr>
        <w:ilvl w:val="7"/>
        <w:numId w:val="1"/>
      </w:numPr>
      <w:spacing w:before="0" w:after="240"/>
      <w:outlineLvl w:val="7"/>
    </w:pPr>
    <w:rPr/>
  </w:style>
  <w:style w:type="paragraph" w:styleId="Heading9">
    <w:name w:val="heading 9"/>
    <w:basedOn w:val="Normal"/>
    <w:next w:val="Normal"/>
    <w:qFormat/>
    <w:pPr>
      <w:keepNext w:val="true"/>
      <w:numPr>
        <w:ilvl w:val="8"/>
        <w:numId w:val="1"/>
      </w:numPr>
      <w:spacing w:before="0" w:after="240"/>
      <w:outlineLvl w:val="8"/>
    </w:pPr>
    <w:rPr/>
  </w:style>
  <w:style w:type="character" w:styleId="DefaultParagraphFont">
    <w:name w:val="Default Paragraph Font"/>
    <w:qForma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0d">
    <w:name w:val=".5/0d"/>
    <w:basedOn w:val="Normal"/>
    <w:qFormat/>
    <w:pPr>
      <w:spacing w:lineRule="auto" w:line="480"/>
      <w:ind w:firstLine="720" w:start="0" w:end="0"/>
    </w:pPr>
    <w:rPr/>
  </w:style>
  <w:style w:type="paragraph" w:styleId="50s">
    <w:name w:val=".5/0s"/>
    <w:basedOn w:val="Normal"/>
    <w:qFormat/>
    <w:pPr>
      <w:spacing w:before="0" w:after="240"/>
      <w:ind w:firstLine="720" w:start="0" w:end="0"/>
    </w:pPr>
    <w:rPr/>
  </w:style>
  <w:style w:type="paragraph" w:styleId="05s">
    <w:name w:val="0/.5s"/>
    <w:basedOn w:val="Normal"/>
    <w:qFormat/>
    <w:pPr>
      <w:spacing w:before="0" w:after="240"/>
      <w:ind w:hanging="720" w:start="720" w:end="0"/>
    </w:pPr>
    <w:rPr/>
  </w:style>
  <w:style w:type="paragraph" w:styleId="00d">
    <w:name w:val="0/0d"/>
    <w:basedOn w:val="Normal"/>
    <w:qFormat/>
    <w:pPr>
      <w:spacing w:lineRule="auto" w:line="480"/>
    </w:pPr>
    <w:rPr/>
  </w:style>
  <w:style w:type="paragraph" w:styleId="00s">
    <w:name w:val="0/0s"/>
    <w:basedOn w:val="Normal"/>
    <w:qFormat/>
    <w:pPr>
      <w:spacing w:before="0" w:after="240"/>
    </w:pPr>
    <w:rPr/>
  </w:style>
  <w:style w:type="paragraph" w:styleId="10d">
    <w:name w:val="1/0d"/>
    <w:basedOn w:val="Normal"/>
    <w:qFormat/>
    <w:pPr>
      <w:spacing w:lineRule="auto" w:line="480"/>
      <w:ind w:firstLine="1440" w:start="0" w:end="0"/>
    </w:pPr>
    <w:rPr/>
  </w:style>
  <w:style w:type="paragraph" w:styleId="10s">
    <w:name w:val="1/0s"/>
    <w:basedOn w:val="Normal"/>
    <w:qFormat/>
    <w:pPr>
      <w:spacing w:before="0" w:after="240"/>
      <w:ind w:firstLine="1440" w:start="0" w:end="0"/>
    </w:pPr>
    <w:rPr/>
  </w:style>
  <w:style w:type="paragraph" w:styleId="33sigline">
    <w:name w:val="3/3sigline"/>
    <w:basedOn w:val="Normal"/>
    <w:qFormat/>
    <w:pPr>
      <w:keepNext w:val="true"/>
      <w:tabs>
        <w:tab w:val="clear" w:pos="720"/>
        <w:tab w:val="right" w:pos="8640" w:leader="none"/>
      </w:tabs>
      <w:ind w:hanging="0" w:start="4320" w:end="0"/>
    </w:pPr>
    <w:rPr>
      <w:u w:val="single"/>
    </w:rPr>
  </w:style>
  <w:style w:type="paragraph" w:styleId="33signature">
    <w:name w:val="3/3signature"/>
    <w:basedOn w:val="Normal"/>
    <w:qFormat/>
    <w:pPr>
      <w:ind w:hanging="0" w:start="4320" w:end="0"/>
    </w:pPr>
    <w:rPr/>
  </w:style>
  <w:style w:type="paragraph" w:styleId="CENTER">
    <w:name w:val="CENTER"/>
    <w:basedOn w:val="Normal"/>
    <w:next w:val="50s"/>
    <w:qFormat/>
    <w:pPr>
      <w:keepNext w:val="true"/>
      <w:spacing w:before="0" w:after="240"/>
      <w:jc w:val="center"/>
    </w:pPr>
    <w:rPr>
      <w:b/>
      <w:caps/>
      <w:u w:val="single"/>
    </w:rPr>
  </w:style>
  <w:style w:type="paragraph" w:styleId="draft">
    <w:name w:val="draft"/>
    <w:basedOn w:val="Normal"/>
    <w:qFormat/>
    <w:pPr>
      <w:pBdr>
        <w:top w:val="single" w:sz="6" w:space="1" w:color="FF0000" w:shadow="1"/>
        <w:left w:val="single" w:sz="6" w:space="1" w:color="FF0000" w:shadow="1"/>
        <w:bottom w:val="single" w:sz="6" w:space="1" w:color="FF0000" w:shadow="1"/>
        <w:right w:val="single" w:sz="6" w:space="1" w:color="FF0000" w:shadow="1"/>
      </w:pBd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tary">
    <w:name w:val="notary"/>
    <w:basedOn w:val="Normal"/>
    <w:qFormat/>
    <w:pPr>
      <w:tabs>
        <w:tab w:val="clear" w:pos="720"/>
        <w:tab w:val="center" w:pos="1800" w:leader="none"/>
        <w:tab w:val="center" w:pos="6480" w:leader="none"/>
      </w:tabs>
    </w:pPr>
    <w:rPr/>
  </w:style>
  <w:style w:type="paragraph" w:styleId="TOC1">
    <w:name w:val="toc 1"/>
    <w:basedOn w:val="Normal"/>
    <w:next w:val="Normal"/>
    <w:pPr>
      <w:tabs>
        <w:tab w:val="left" w:pos="720" w:leader="none"/>
        <w:tab w:val="right" w:pos="9360" w:leader="dot"/>
      </w:tabs>
      <w:spacing w:before="360" w:after="0"/>
      <w:ind w:hanging="720" w:start="720" w:end="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left" w:pos="2160" w:leader="none"/>
        <w:tab w:val="right" w:pos="9360" w:leader="dot"/>
      </w:tabs>
      <w:ind w:hanging="720" w:start="2160" w:end="0"/>
    </w:pPr>
    <w:rPr/>
  </w:style>
  <w:style w:type="paragraph" w:styleId="TOC4">
    <w:name w:val="toc 4"/>
    <w:basedOn w:val="Normal"/>
    <w:next w:val="Normal"/>
    <w:pPr>
      <w:tabs>
        <w:tab w:val="clear" w:pos="720"/>
        <w:tab w:val="left" w:pos="2880" w:leader="none"/>
        <w:tab w:val="right" w:pos="9360" w:leader="dot"/>
      </w:tabs>
      <w:ind w:hanging="720" w:start="2880" w:end="0"/>
    </w:pPr>
    <w:rPr/>
  </w:style>
  <w:style w:type="paragraph" w:styleId="TOC5">
    <w:name w:val="toc 5"/>
    <w:basedOn w:val="Normal"/>
    <w:next w:val="Normal"/>
    <w:pPr>
      <w:tabs>
        <w:tab w:val="clear" w:pos="720"/>
        <w:tab w:val="left" w:pos="3600" w:leader="none"/>
        <w:tab w:val="right" w:pos="9360" w:leader="dot"/>
      </w:tabs>
      <w:ind w:hanging="720" w:start="3600" w:end="0"/>
    </w:pPr>
    <w:rPr/>
  </w:style>
  <w:style w:type="paragraph" w:styleId="TOC6">
    <w:name w:val="toc 6"/>
    <w:basedOn w:val="Normal"/>
    <w:next w:val="Normal"/>
    <w:pPr>
      <w:tabs>
        <w:tab w:val="clear" w:pos="720"/>
        <w:tab w:val="left" w:pos="4320" w:leader="none"/>
        <w:tab w:val="right" w:pos="9360" w:leader="dot"/>
      </w:tabs>
      <w:ind w:hanging="720" w:start="4320" w:end="0"/>
    </w:pPr>
    <w:rPr/>
  </w:style>
  <w:style w:type="paragraph" w:styleId="TOC7">
    <w:name w:val="toc 7"/>
    <w:basedOn w:val="Normal"/>
    <w:next w:val="Normal"/>
    <w:pPr>
      <w:tabs>
        <w:tab w:val="clear" w:pos="720"/>
        <w:tab w:val="left" w:pos="5040" w:leader="none"/>
        <w:tab w:val="right" w:pos="9360" w:leader="dot"/>
      </w:tabs>
      <w:ind w:hanging="720" w:start="5040" w:end="0"/>
    </w:pPr>
    <w:rPr/>
  </w:style>
  <w:style w:type="paragraph" w:styleId="TOC8">
    <w:name w:val="toc 8"/>
    <w:basedOn w:val="Normal"/>
    <w:next w:val="Normal"/>
    <w:pPr>
      <w:tabs>
        <w:tab w:val="clear" w:pos="720"/>
        <w:tab w:val="left" w:pos="5760" w:leader="none"/>
        <w:tab w:val="right" w:pos="9360" w:leader="dot"/>
      </w:tabs>
      <w:ind w:hanging="720" w:start="5760" w:end="0"/>
    </w:pPr>
    <w:rPr/>
  </w:style>
  <w:style w:type="paragraph" w:styleId="TOC9">
    <w:name w:val="toc 9"/>
    <w:basedOn w:val="Normal"/>
    <w:next w:val="Normal"/>
    <w:pPr>
      <w:tabs>
        <w:tab w:val="clear" w:pos="720"/>
        <w:tab w:val="left" w:pos="6480" w:leader="none"/>
        <w:tab w:val="right" w:pos="9360" w:leader="dot"/>
      </w:tabs>
      <w:ind w:hanging="720" w:start="648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dnoteText">
    <w:name w:val="endnote text"/>
    <w:basedOn w:val="Normal"/>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2000-11-20T19:46:00Z</dcterms:created>
  <dc:creator>GOLIAS1</dc:creator>
  <dc:description/>
  <dc:language>en-CA</dc:language>
  <cp:lastModifiedBy>Systems Department</cp:lastModifiedBy>
  <cp:lastPrinted>2000-11-20T17:28:00Z</cp:lastPrinted>
  <dcterms:modified xsi:type="dcterms:W3CDTF">2000-11-20T19:58:00Z</dcterms:modified>
  <cp:revision>8</cp:revision>
  <dc:subject>BANKDOCS</dc:subject>
  <dc:title>Enron/Sempra:  Letter to Kinder</dc:title>
</cp:coreProperties>
</file>