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end"/>
        <w:rPr>
          <w:sz w:val="16"/>
          <w:u w:val="none"/>
        </w:rPr>
      </w:pPr>
      <w:r>
        <w:rPr>
          <w:sz w:val="16"/>
          <w:u w:val="none"/>
        </w:rPr>
        <w:t>PRIVILEGED AND</w:t>
      </w:r>
    </w:p>
    <w:p>
      <w:pPr>
        <w:pStyle w:val="Heading"/>
        <w:jc w:val="end"/>
        <w:rPr>
          <w:sz w:val="16"/>
          <w:u w:val="none"/>
        </w:rPr>
      </w:pPr>
      <w:r>
        <w:rPr>
          <w:sz w:val="16"/>
          <w:u w:val="none"/>
        </w:rPr>
        <w:t>CONFIDENTIAL PURSUANT TO</w:t>
      </w:r>
    </w:p>
    <w:p>
      <w:pPr>
        <w:pStyle w:val="Heading"/>
        <w:jc w:val="end"/>
        <w:rPr>
          <w:sz w:val="16"/>
          <w:u w:val="none"/>
        </w:rPr>
      </w:pPr>
      <w:r>
        <w:rPr>
          <w:sz w:val="16"/>
          <w:u w:val="none"/>
        </w:rPr>
        <w:t>FERC RULE 606</w:t>
      </w:r>
    </w:p>
    <w:p>
      <w:pPr>
        <w:pStyle w:val="Heading"/>
        <w:jc w:val="end"/>
        <w:rPr>
          <w:u w:val="none"/>
        </w:rPr>
      </w:pPr>
      <w:r>
        <w:rPr>
          <w:sz w:val="16"/>
          <w:u w:val="none"/>
        </w:rPr>
        <w:t>Submitted to Judge McCartney on August 24, 2001</w:t>
      </w:r>
    </w:p>
    <w:p>
      <w:pPr>
        <w:pStyle w:val="Heading"/>
        <w:rPr>
          <w:u w:val="none"/>
        </w:rPr>
      </w:pPr>
      <w:r>
        <w:rPr>
          <w:u w:val="none"/>
        </w:rPr>
      </w:r>
    </w:p>
    <w:p>
      <w:pPr>
        <w:pStyle w:val="Heading"/>
        <w:rPr/>
      </w:pPr>
      <w:r>
        <w:rPr/>
        <w:t>Enron’s Response to the Strawman Proposals in Docket No. RT01-100</w:t>
      </w:r>
      <w:r>
        <w:rPr>
          <w:rStyle w:val="FootnoteCharacters"/>
          <w:rStyle w:val="FootnoteReference"/>
        </w:rPr>
        <w:footnoteReference w:id="2"/>
      </w:r>
    </w:p>
    <w:p>
      <w:pPr>
        <w:pStyle w:val="Normal"/>
        <w:jc w:val="center"/>
        <w:rPr>
          <w:sz w:val="26"/>
          <w:u w:val="single"/>
        </w:rPr>
      </w:pPr>
      <w:r>
        <w:rPr>
          <w:sz w:val="26"/>
          <w:u w:val="single"/>
        </w:rPr>
      </w:r>
    </w:p>
    <w:p>
      <w:pPr>
        <w:pStyle w:val="Normal"/>
        <w:spacing w:lineRule="auto" w:line="480"/>
        <w:ind w:firstLine="720" w:start="-360" w:end="0"/>
        <w:jc w:val="both"/>
        <w:rPr/>
      </w:pPr>
      <w:r>
        <w:rPr>
          <w:sz w:val="26"/>
        </w:rPr>
        <w:t xml:space="preserve">C1. </w:t>
      </w:r>
      <w:r>
        <w:rPr>
          <w:sz w:val="26"/>
          <w:u w:val="single"/>
        </w:rPr>
        <w:t>Independence:</w:t>
      </w:r>
      <w:r>
        <w:rPr>
          <w:sz w:val="26"/>
        </w:rPr>
        <w:t xml:space="preserve">  Enron agrees with the Grids and SE Trans as to the similarities and differences.  </w:t>
      </w:r>
      <w:r>
        <w:rPr>
          <w:b/>
          <w:bCs/>
          <w:sz w:val="26"/>
        </w:rPr>
        <w:t>Enron likes the Grids’ plan best</w:t>
      </w:r>
      <w:r>
        <w:rPr>
          <w:sz w:val="26"/>
        </w:rPr>
        <w:t>.  The best aspects are that it encourages divestiture of transmission assets and allows the SAC to choose the IMA.</w:t>
      </w:r>
    </w:p>
    <w:p>
      <w:pPr>
        <w:pStyle w:val="Normal"/>
        <w:spacing w:lineRule="auto" w:line="480"/>
        <w:ind w:firstLine="720" w:start="-360" w:end="0"/>
        <w:jc w:val="both"/>
        <w:rPr>
          <w:sz w:val="26"/>
        </w:rPr>
      </w:pPr>
      <w:r>
        <w:rPr>
          <w:sz w:val="26"/>
        </w:rPr>
        <w:t>First, Enron strongly supports a Transco model where the great majority of assets are owned by the independent Transco.  Therefore, during the post-mediation phase, there should be full exploration of all methods that facilitate the transfer of control of any entity, including non-jurisdictional entities, into the RTO.</w:t>
      </w:r>
    </w:p>
    <w:p>
      <w:pPr>
        <w:pStyle w:val="Normal"/>
        <w:spacing w:lineRule="auto" w:line="480"/>
        <w:ind w:firstLine="720" w:start="-360" w:end="0"/>
        <w:jc w:val="both"/>
        <w:rPr>
          <w:sz w:val="26"/>
        </w:rPr>
      </w:pPr>
      <w:r>
        <w:rPr>
          <w:sz w:val="26"/>
        </w:rPr>
        <w:t>Second, while the issues of possible institutional bias of a Transco are appropriate for consideration, it seems that they can be dealt with through contractual protections in the Transmission Operating Agreements (“TOA”) ( to protect the non-jurisdictional entity from either being required to build or to allow them an ROFR to build in their footprint, if otherwise allowed by law and at the lowest cost) and through the IMA proposed by the Grids.  However, this issue should not hinder the overwhelming positive aspects to all users of the Southeast transmission grid provided by the structural separation as this will result in the potential divestiture of transmission assets to independent board operated companies that are separated from generation interests.  Pre-divestiture, Enron does not see many differences between the models in the functionality at the TO level; however, there appear to be more protections from continuation of discriminatory treatment in the Grids model, as discussed below under Tariff Admin. (for example, automatic conversion of existing transmission service to OATT).</w:t>
      </w:r>
    </w:p>
    <w:p>
      <w:pPr>
        <w:pStyle w:val="BodyTextIndent"/>
        <w:rPr/>
      </w:pPr>
      <w:r>
        <w:rPr/>
        <w:t>Several items in the Grids proposal could be modified:  (1) The market design function should reside in the IMA, not the Transco (The Grids had explained that this meant allowing the Transco the same input on market design as other stakeholders; however, this clarification is not apparent in the strawman) and (2) the TOAs should be between the TOs and the IMA, rather than the Transco.</w:t>
      </w:r>
    </w:p>
    <w:p>
      <w:pPr>
        <w:pStyle w:val="BodyTextIndent"/>
        <w:rPr/>
      </w:pPr>
      <w:r>
        <w:rPr/>
        <w:t xml:space="preserve">Finally, it is unclear why the SE Trans model includes a five year prohibition on any 206 complaint regarding the allocation of responsibilities between the Transco and the SA.  It is appropriate for the Commission to deal with any such problems, especially during the formation years.  </w:t>
      </w:r>
    </w:p>
    <w:p>
      <w:pPr>
        <w:pStyle w:val="BodyTextIndent"/>
        <w:ind w:hanging="0" w:end="0"/>
        <w:rPr/>
      </w:pPr>
      <w:r>
        <w:rPr/>
        <w:t xml:space="preserve">C2. </w:t>
      </w:r>
      <w:r>
        <w:rPr>
          <w:u w:val="single"/>
        </w:rPr>
        <w:t>Scope and Regional Configuration:</w:t>
      </w:r>
      <w:r>
        <w:rPr/>
        <w:t xml:space="preserve">  Agree with both representations of similarities and differences.  It is clear from the Commission’s 7/12/01 orders that it expects the mediation process to produce one RTO for the Southeast.  </w:t>
      </w:r>
      <w:r>
        <w:rPr>
          <w:b/>
          <w:bCs/>
        </w:rPr>
        <w:t xml:space="preserve">Enron likes the Grid model </w:t>
      </w:r>
      <w:r>
        <w:rPr/>
        <w:t>for the reason that IOUs over a large scope are more likely to structurally separate through divestiture.</w:t>
      </w:r>
    </w:p>
    <w:p>
      <w:pPr>
        <w:pStyle w:val="BodyTextIndent"/>
        <w:ind w:hanging="0" w:end="0"/>
        <w:rPr/>
      </w:pPr>
      <w:r>
        <w:rPr/>
        <w:t xml:space="preserve">C3. </w:t>
      </w:r>
      <w:r>
        <w:rPr>
          <w:u w:val="single"/>
        </w:rPr>
        <w:t>Operational Authority:</w:t>
      </w:r>
      <w:r>
        <w:rPr/>
        <w:t xml:space="preserve">  Agree that the differences are driven by the congestion management model.  </w:t>
      </w:r>
      <w:r>
        <w:rPr>
          <w:b/>
          <w:bCs/>
        </w:rPr>
        <w:t xml:space="preserve">Enron agrees with the Grid model </w:t>
      </w:r>
      <w:r>
        <w:rPr/>
        <w:t>with the option to collapse the control areas in order to establish a clear hierarchical separation to the RTO.  However, this option still does not address the Commission’s requirement in the 7/12/01 GridSouth order to provide an explanation how individual control areas and the RTO will operationally coordinate their balancing and congestion management responsibilities (Order at 24).  Maintenance of existing control areas, especially when coupled with the possibility of a balanced day ahead balanced schedule requirement, only serves to perpetuate the discriminatory practices currently allowed between IPPs (and generation only control areas) and generation/transmission owning utilities.  Therefore, Enron strongly supports the Grids’ LMP/Financial Rights model, as more fully discussed below.</w:t>
      </w:r>
    </w:p>
    <w:p>
      <w:pPr>
        <w:pStyle w:val="BodyTextIndent"/>
        <w:rPr/>
      </w:pPr>
      <w:r>
        <w:rPr/>
        <w:t>Similarly, Enron strongly opposes the SE Trans model’s financial penalty for imbalances.  There is no showing whatsoever that such penalties do anything to improve the reliability of the transmission grid (or, conversely, that unbalanced schedules create a lack of reliability).  The balanced schedule requirement is a remnant from the past:  a subtle, yet sophisticated barrier to entry.  Moreover, such a penalty only exacerbates the inherent commercially discriminatory advantages that load and generation utilities have over IPPs and power marketers as a result of the continuation of the balanced day ahead schedule requirement.  For example, a load and generation control area, such as Southern or Entergy, can purchase power from an off-system source and show its control area as the sink on a day ahead schedule.  It can then choose to “adjust” its schedule intraday to either run its own generation or use the off-system source to serve its load.  However, it maintains flexibility in deciding which course of action to take depending on the intraday prices within its system and off-system.  To the contrary, IPPs and power marketers are precluded (pursuant to current tariff provisions in Entergy and Southern’s tariffs) from maintaining this type of flexibility, even though they are selling power ultimately to loads as well.  Therefore, utilizing the LMP/Financial model allows the market to work in the most non-discriminatory way while maintaining reliability and operational control with the RTO.</w:t>
      </w:r>
    </w:p>
    <w:p>
      <w:pPr>
        <w:pStyle w:val="BodyTextIndent"/>
        <w:ind w:hanging="0" w:end="0"/>
        <w:rPr/>
      </w:pPr>
      <w:r>
        <w:rPr/>
        <w:t xml:space="preserve">C4. </w:t>
      </w:r>
      <w:r>
        <w:rPr>
          <w:u w:val="single"/>
        </w:rPr>
        <w:t>Short-term Reliability:</w:t>
      </w:r>
      <w:r>
        <w:rPr/>
        <w:t xml:space="preserve">  Agree that the main difference is the participation of incumbent control areas in the pricing in the SE Trans model (SE Trans at 30).  </w:t>
      </w:r>
      <w:r>
        <w:rPr>
          <w:b/>
          <w:bCs/>
        </w:rPr>
        <w:t xml:space="preserve">Enron supports the Grid proposal.  </w:t>
      </w:r>
      <w:r>
        <w:rPr/>
        <w:t>Enron strongly supports the use of coordinated dispatch of the Real Time Spot energy market to centrally run a single optimization program based on collected bids.  This coordinated dispatch function would also manage congestion and provide balancing energy service (Grid Operating Protocol at 5).  This is the only model that truly provides the “robust, reliable and competitive electricity marketplace” required by the Commission (July 12, 2001 GridSouth Order, slip op. at 1).  True competition comes from the establishment of a transparent price-based real time energy market that allows participation on an equal basis by IPPs, marketers, other generation, and load.  Proper signals for new generation, transmission or demand side management are not available in a system that perpetuates the control area competitive advantages, as described above in C3.</w:t>
      </w:r>
    </w:p>
    <w:p>
      <w:pPr>
        <w:pStyle w:val="BodyTextIndent"/>
        <w:rPr/>
      </w:pPr>
      <w:r>
        <w:rPr/>
        <w:t>Moreover, the efficiencies of the market cannot be fully achieved without use of the real time central dispatch function combined with congestion handled by the proposed financial rights model.  For example, efficiencies are lost if the nodal price signals (obtained by running the unconstrained schedule) indicate that it would be more economical for a particular generator or load to increase or decrease output, but it cannot due to the limitations of a generator trying to quickly (in real time) obtain a physical right from another participant.</w:t>
      </w:r>
    </w:p>
    <w:p>
      <w:pPr>
        <w:pStyle w:val="BodyTextIndent"/>
        <w:ind w:hanging="0" w:end="0"/>
        <w:rPr/>
      </w:pPr>
      <w:r>
        <w:rPr/>
        <w:t xml:space="preserve">F1. </w:t>
      </w:r>
      <w:r>
        <w:rPr>
          <w:u w:val="single"/>
        </w:rPr>
        <w:t>Tariff Administration:</w:t>
      </w:r>
      <w:r>
        <w:rPr/>
        <w:t xml:space="preserve">  Agree that there are several major differences in the models.  </w:t>
      </w:r>
      <w:r>
        <w:rPr>
          <w:b/>
          <w:bCs/>
        </w:rPr>
        <w:t>Enron supports the Grid proposal.</w:t>
      </w:r>
      <w:r>
        <w:rPr/>
        <w:t xml:space="preserve">  One of the most glaring distinctions is the maintenance of the zonal rates until 2012 (to coincide with the Georgia ITS Agreements (SE Trans at 35).  Another potential problem with the SE Trans proposal  is that not all load would be subject to the rates of the OATT (as represented in the mediation – it is not discussed in the strawman).  By contrast, the Grid model provides for the inclusion of all load under the OATT in order to promote comparability (Grid proposal at 31).  However, it is somewhat unclear in the Grid model how existing transmission agreements (“ETA”) are treated pursuant to the OATT (Grid proposal at 31: “If an ETA is not converted, the transmission provider under the ETA will be required to procure services under the SPG OATT necessary to perform under that ETA” and at 37 “parties …given the right to exercise …rights to propose to convert their contracts to service under the OATT or to amend their contracts to facilitate RTO operations.”)  Validity of a viable Southeastern power market is accomplished when all contracts are subject to the OATT.  Enron disagrees with the Grid Proposal to maintain zonal rates for 10 years without showing that collapsing the zones would cause cost shifting that would be significant.  (Grids proposal at 33).</w:t>
      </w:r>
    </w:p>
    <w:p>
      <w:pPr>
        <w:pStyle w:val="BodyTextIndent"/>
        <w:ind w:firstLine="360" w:end="0"/>
        <w:rPr/>
      </w:pPr>
      <w:r>
        <w:rPr/>
        <w:t>In addition, to facilitate the Commission’s Order No. 2000 anticipated benefit of more efficiency in transmission, allocation of the imbedded costs of the existing transmission system to loads facilitates a market where price signals in real time are based on true congestion and energy costs, rather than sunk costs of the transmission system.  Furthermore, while the Grid proposal to roll in rates for new transmission is workable for the initial operation of the RTO, innovative methods of recovering the costs of new transmission should be explored as access to real time pricing information grows, such as use of incentive returns for new investment in a particular zone.</w:t>
      </w:r>
    </w:p>
    <w:p>
      <w:pPr>
        <w:pStyle w:val="BodyTextIndent"/>
        <w:ind w:firstLine="360" w:end="0"/>
        <w:rPr/>
      </w:pPr>
      <w:r>
        <w:rPr/>
        <w:t>Finally, whether the voltage included in the RTO is 69kv or 40kv, it is important that generators and loads can install meters that allow them to participate in the real time spot market.</w:t>
      </w:r>
    </w:p>
    <w:p>
      <w:pPr>
        <w:pStyle w:val="BodyTextIndent"/>
        <w:ind w:firstLine="360" w:end="0"/>
        <w:rPr/>
      </w:pPr>
      <w:r>
        <w:rPr/>
        <w:t xml:space="preserve">F2. </w:t>
      </w:r>
      <w:r>
        <w:rPr>
          <w:u w:val="single"/>
        </w:rPr>
        <w:t>Congestion Management:</w:t>
      </w:r>
      <w:r>
        <w:rPr/>
        <w:t xml:space="preserve">  There are substantial differences between the SE Trans physical rights model/the Grids’ GridFlorida physical rights model and the Grids’ LMP/Financial Rights model.  </w:t>
      </w:r>
      <w:r>
        <w:rPr>
          <w:b/>
          <w:bCs/>
        </w:rPr>
        <w:t xml:space="preserve">Enron very strongly supports the Grids’ LMP/Financial Rights model.  </w:t>
      </w:r>
      <w:r>
        <w:rPr/>
        <w:t>Next to the complete independence of a large RTO with full operational control, the congestion rights model is critical to promote the “market that will support the billions of dollars of capital investment in generation and demand side projects necessary to support a robust, reliable and competitive electricity marketplace.”  (July 12, 2001 GridSouth Order, slip op. at 1).  Perpetuation of current discriminatory practices will continue without the open and transparent real time spot market that is accessible to all market participants – not just incumbent control areas.  A robust spot market (without a day ahead balanced schedule provision with penalties (the SE Trans model)) provides the market with the real time pricing tools upon which to base an active market in providing hedging tools with a wide variety of energy products for utilities and end users.  For example, accurate pricing of forward hedging tools is difficult without a transparent and liquid real time spot market where participants can liquidate positions and measure the value of their hedged products.</w:t>
      </w:r>
    </w:p>
    <w:p>
      <w:pPr>
        <w:pStyle w:val="BodyTextIndent"/>
        <w:ind w:firstLine="360" w:end="0"/>
        <w:rPr/>
      </w:pPr>
      <w:r>
        <w:rPr/>
        <w:t>Moreover, accurate real time nodal prices (that are set by the participation of all market participants) will provide the essential price signals to best determine the location and necessity of new investment in generation, transmission, and demand side management products, as well as new innovation.  The LMP/financial rights model also provides the most flexibility to participants for development of a variety of forward market instruments to manage real time price risk (for example, options/obligations/FTRs/Flowgates, etc.).</w:t>
      </w:r>
    </w:p>
    <w:p>
      <w:pPr>
        <w:pStyle w:val="BodyTextIndent"/>
        <w:ind w:firstLine="360" w:end="0"/>
        <w:rPr/>
      </w:pPr>
      <w:r>
        <w:rPr/>
        <w:t>In addition, the LMP/financial rights model is the most consistent with the Commission’s directive to “either implement the best practices from among the existing mechanisms currently in use by other grid operators or explain why its proposal is superior to the industry’s existing best practices” (July 12, 2001 GridSouth Order, slip op. at 23).  A form of the LMP/financial rights system is currently used in the PJM region and is available for purchase.  Moreover, there was no explanation during the mediation that either of the physical rights models (GridFlorida or SE Trans) were better than the existing best practices.  (In this regard, Enron disagrees with the first bullet in the Grid Proposal Appendix 3, Physical Rights/Flowgates Model Exec. Summary: that an advantage of the model is “the scheduling process will be clear and simple.”  The process is somewhat consistent with the process that is used today throughout the Southeast:  We question whether it is either clear or simple.  In addition, while other possible RTOs are considering the Physical Rights model, it is not in operation in the US.)</w:t>
      </w:r>
    </w:p>
    <w:p>
      <w:pPr>
        <w:pStyle w:val="BodyTextIndent"/>
        <w:ind w:firstLine="360" w:end="0"/>
        <w:rPr/>
      </w:pPr>
      <w:r>
        <w:rPr/>
        <w:t>Finally, while we oppose the physical rights model proposed by SE Trans, it appears that a portion of the SE Trans model could be taken to mean that LMPs are used to calculate the congestion cost to the holder of the flowgate.  This suggests a financial instrument.  Typically the calculation used under the physical flowgate model uses shadow prices.  (SE Trans at 37 “calculation [of] the LMP for the flowgate nodes.”)</w:t>
      </w:r>
    </w:p>
    <w:p>
      <w:pPr>
        <w:pStyle w:val="BodyTextIndent"/>
        <w:ind w:hanging="0" w:end="0"/>
        <w:rPr/>
      </w:pPr>
      <w:r>
        <w:rPr/>
        <w:t xml:space="preserve">F3. </w:t>
      </w:r>
      <w:r>
        <w:rPr>
          <w:u w:val="single"/>
        </w:rPr>
        <w:t>Parallel Path Flow:</w:t>
      </w:r>
      <w:r>
        <w:rPr/>
        <w:t xml:space="preserve">  Agree that the specifics of parallel path flow should be developed further under both procedures.  </w:t>
      </w:r>
      <w:r>
        <w:rPr>
          <w:b/>
          <w:bCs/>
        </w:rPr>
        <w:t>Enron prefers the Grid model</w:t>
      </w:r>
      <w:r>
        <w:rPr/>
        <w:t xml:space="preserve"> for its recognition that parallel path issues are minimized with a large scope RTO and that the congestion management will address parallel paths.  In this regard, parallel path problems inter-RTO are minimized to the extent that the Southeast RTO adopts a congestion management model similar to that utilized by neighboring RTOs.  (Currently, the Northeast uses a financial rights type model and the MISO has announced plans to adopt a financial rights model.)</w:t>
      </w:r>
    </w:p>
    <w:p>
      <w:pPr>
        <w:pStyle w:val="BodyTextIndent"/>
        <w:ind w:hanging="0" w:end="0"/>
        <w:rPr/>
      </w:pPr>
      <w:r>
        <w:rPr/>
        <w:t xml:space="preserve">F4. </w:t>
      </w:r>
      <w:r>
        <w:rPr>
          <w:u w:val="single"/>
        </w:rPr>
        <w:t>Ancillary Services:</w:t>
      </w:r>
      <w:r>
        <w:rPr/>
        <w:t xml:space="preserve">  Agree that both models are similar.  </w:t>
      </w:r>
      <w:r>
        <w:rPr>
          <w:b/>
          <w:bCs/>
        </w:rPr>
        <w:t>Enron prefers the Grid model</w:t>
      </w:r>
      <w:r>
        <w:rPr/>
        <w:t xml:space="preserve"> because it uses nodal pricing for congestion and imbalance.  While it does not initially use a market-based approach for ancillaries, use of this type of LMP/financial model should facilitate establishment of a market for ancillary services.</w:t>
      </w:r>
    </w:p>
    <w:p>
      <w:pPr>
        <w:pStyle w:val="BodyTextIndent"/>
        <w:ind w:hanging="0" w:end="0"/>
        <w:rPr/>
      </w:pPr>
      <w:r>
        <w:rPr/>
        <w:t xml:space="preserve">F5. </w:t>
      </w:r>
      <w:r>
        <w:rPr>
          <w:u w:val="single"/>
        </w:rPr>
        <w:t>OASIS/TTC/ATC:</w:t>
      </w:r>
      <w:r>
        <w:rPr/>
        <w:t xml:space="preserve">  Agree that both models are substantially similar with one OATT, one OASIS (with calculations of ATC/TTC performed by the IMA/SA), and one interconnection policy and pro forma agreement.  Enron supports these revisions that have been made through the mediation process.</w:t>
      </w:r>
    </w:p>
    <w:p>
      <w:pPr>
        <w:pStyle w:val="BodyTextIndent"/>
        <w:ind w:hanging="0" w:end="0"/>
        <w:rPr/>
      </w:pPr>
      <w:r>
        <w:rPr/>
        <w:t xml:space="preserve">F6. </w:t>
      </w:r>
      <w:r>
        <w:rPr>
          <w:u w:val="single"/>
        </w:rPr>
        <w:t>Market Monitoring:</w:t>
      </w:r>
      <w:r>
        <w:rPr/>
        <w:t xml:space="preserve">  Agree that both models are substantially similar.  Enron disagrees that the Market Monitor can seek to impose mitigation measures, unless is clarified that such mitigation measures can only be imposed after approval by the Commission.  (Grid proposal at 50 and 51).</w:t>
      </w:r>
    </w:p>
    <w:p>
      <w:pPr>
        <w:pStyle w:val="BodyTextIndent"/>
        <w:ind w:hanging="0" w:end="0"/>
        <w:rPr/>
      </w:pPr>
      <w:r>
        <w:rPr/>
        <w:t xml:space="preserve">F7. </w:t>
      </w:r>
      <w:r>
        <w:rPr>
          <w:u w:val="single"/>
        </w:rPr>
        <w:t>Planning and Expansion:</w:t>
      </w:r>
      <w:r>
        <w:rPr/>
        <w:t xml:space="preserve">  Agree that the models are substantially similar.  </w:t>
      </w:r>
      <w:r>
        <w:rPr>
          <w:b/>
          <w:bCs/>
        </w:rPr>
        <w:t>Enron prefers the Grid model.</w:t>
      </w:r>
      <w:r>
        <w:rPr/>
        <w:t xml:space="preserve">  In particular, the provision requiring the Transco to consider market solutions, including any proposed merchant or participant-funded expansion projects, is good.  (Grid proposal at 56).  The SE Trans model, on the other hand, contains a type of right of first refusal to the local transmission owner (SE Trans at 48).  While the proposal states that this “will probably be more expedient and less costly,” there is no way to know this unless the project is bid out.</w:t>
      </w:r>
    </w:p>
    <w:p>
      <w:pPr>
        <w:pStyle w:val="BodyTextIndent"/>
        <w:ind w:hanging="0" w:end="0"/>
        <w:rPr/>
      </w:pPr>
      <w:r>
        <w:rPr/>
        <w:t xml:space="preserve">F8. </w:t>
      </w:r>
      <w:r>
        <w:rPr>
          <w:u w:val="single"/>
        </w:rPr>
        <w:t>Interregional Coordination:</w:t>
      </w:r>
      <w:r>
        <w:rPr/>
        <w:t xml:space="preserve">  Agree that both models are substantially similar.  Interregional coordination problems are minimized to the extent that a common congestion management process is adopted inter-RTO, as stated above.</w:t>
      </w:r>
    </w:p>
    <w:p>
      <w:pPr>
        <w:pStyle w:val="BodyTextIndent"/>
        <w:ind w:hanging="0" w:end="0"/>
        <w:rPr/>
      </w:pPr>
      <w:r>
        <w:rPr>
          <w:u w:val="single"/>
        </w:rPr>
        <w:t>SE Trans Proposed Milestones:</w:t>
      </w:r>
      <w:r>
        <w:rPr/>
        <w:t xml:space="preserve">  Enron disagrees that the development process will take the length of time suggested.  Day 2 implementation can take place on December 15, 2002, as required under Order No. 2000 (not postponed for two more years, as suggested.)  As stated above, a known best practices model, such as the LMP/Financial system, is already in operation in the US and should be fairly easy to adopt for the SE RTO.  Rapid deployment of this model will propel the Southeast toward the truly competitive markets envisioned by the Commission.</w:t>
      </w:r>
    </w:p>
    <w:sectPr>
      <w:footerReference w:type="default" r:id="rId2"/>
      <w:footnotePr>
        <w:numFmt w:val="decimal"/>
      </w:footnotePr>
      <w:type w:val="nextPage"/>
      <w:pgSz w:w="12240" w:h="15840"/>
      <w:pgMar w:left="1800" w:right="180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ab/>
        <w:t>Enron clarifies that it reserves its rights to further consider and review the matters set forth in both models.</w:t>
      </w:r>
    </w:p>
  </w:footnote>
</w:footnotes>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sz w:val="26"/>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BodyTextIndent">
    <w:name w:val="Body Text Indent"/>
    <w:basedOn w:val="Normal"/>
    <w:pPr>
      <w:spacing w:lineRule="auto" w:line="480"/>
      <w:ind w:firstLine="1080" w:start="-360" w:end="0"/>
      <w:jc w:val="both"/>
    </w:pPr>
    <w:rPr>
      <w:sz w:val="26"/>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2001-08-22T21:23:00Z</dcterms:created>
  <dc:creator>cnicola</dc:creator>
  <dc:description/>
  <dc:language>en-CA</dc:language>
  <cp:lastModifiedBy>cnicola</cp:lastModifiedBy>
  <cp:lastPrinted>2001-08-24T14:35:00Z</cp:lastPrinted>
  <dcterms:modified xsi:type="dcterms:W3CDTF">2001-08-24T17:54:00Z</dcterms:modified>
  <cp:revision>22</cp:revision>
  <dc:subject/>
  <dc:title>PRIVILEGED AND</dc:title>
</cp:coreProperties>
</file>