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uppressAutoHyphens w:val="true"/>
        <w:jc w:val="center"/>
        <w:rPr/>
      </w:pPr>
      <w:r>
        <w:rPr>
          <w:b/>
          <w:sz w:val="28"/>
          <w:u w:val="double"/>
        </w:rPr>
        <w:t>W</w:t>
      </w:r>
      <w:r>
        <w:rPr>
          <w:b/>
          <w:u w:val="double"/>
        </w:rPr>
        <w:t xml:space="preserve">AYNE </w:t>
      </w:r>
      <w:r>
        <w:rPr>
          <w:b/>
          <w:sz w:val="28"/>
          <w:u w:val="double"/>
        </w:rPr>
        <w:t>V</w:t>
      </w:r>
      <w:r>
        <w:rPr>
          <w:b/>
          <w:u w:val="double"/>
        </w:rPr>
        <w:t xml:space="preserve">. </w:t>
      </w:r>
      <w:r>
        <w:rPr>
          <w:b/>
          <w:sz w:val="28"/>
          <w:u w:val="double"/>
        </w:rPr>
        <w:t>W</w:t>
      </w:r>
      <w:r>
        <w:rPr>
          <w:b/>
          <w:u w:val="double"/>
        </w:rPr>
        <w:t>EIGHT</w:t>
      </w:r>
    </w:p>
    <w:p>
      <w:pPr>
        <w:pStyle w:val="Normal"/>
        <w:suppressAutoHyphens w:val="true"/>
        <w:jc w:val="center"/>
        <w:rPr>
          <w:sz w:val="20"/>
        </w:rPr>
      </w:pPr>
      <w:r>
        <w:rPr>
          <w:sz w:val="20"/>
        </w:rPr>
        <w:t>842 Chatsworth Drive</w:t>
      </w:r>
    </w:p>
    <w:p>
      <w:pPr>
        <w:pStyle w:val="Normal"/>
        <w:suppressAutoHyphens w:val="true"/>
        <w:jc w:val="center"/>
        <w:rPr>
          <w:sz w:val="20"/>
        </w:rPr>
      </w:pPr>
      <w:r>
        <w:rPr>
          <w:sz w:val="20"/>
        </w:rPr>
        <w:t>Accokeek, MD 20607</w:t>
      </w:r>
    </w:p>
    <w:p>
      <w:pPr>
        <w:pStyle w:val="Normal"/>
        <w:suppressAutoHyphens w:val="true"/>
        <w:jc w:val="center"/>
        <w:rPr>
          <w:sz w:val="20"/>
        </w:rPr>
      </w:pPr>
      <w:r>
        <w:rPr>
          <w:sz w:val="20"/>
        </w:rPr>
        <w:t>(301) 292-6876 (H)</w:t>
      </w:r>
    </w:p>
    <w:p>
      <w:pPr>
        <w:pStyle w:val="Normal"/>
        <w:suppressAutoHyphens w:val="true"/>
        <w:jc w:val="center"/>
        <w:rPr>
          <w:sz w:val="20"/>
        </w:rPr>
      </w:pPr>
      <w:r>
        <w:rPr>
          <w:sz w:val="20"/>
        </w:rPr>
        <w:t>(202) 898-7238 (W)</w:t>
      </w:r>
    </w:p>
    <w:p>
      <w:pPr>
        <w:pStyle w:val="Normal"/>
        <w:tabs>
          <w:tab w:val="clear" w:pos="720"/>
          <w:tab w:val="left" w:pos="0" w:leader="none"/>
        </w:tabs>
        <w:suppressAutoHyphens w:val="true"/>
        <w:rPr>
          <w:sz w:val="20"/>
        </w:rPr>
      </w:pPr>
      <w:r>
        <w:rPr>
          <w:sz w:val="20"/>
        </w:rPr>
      </w:r>
    </w:p>
    <w:p>
      <w:pPr>
        <w:pStyle w:val="Normal"/>
        <w:tabs>
          <w:tab w:val="clear" w:pos="720"/>
          <w:tab w:val="left" w:pos="0" w:leader="none"/>
        </w:tabs>
        <w:suppressAutoHyphens w:val="true"/>
        <w:rPr/>
      </w:pPr>
      <w:r>
        <w:rPr>
          <w:b/>
          <w:smallCaps/>
          <w:sz w:val="24"/>
          <w:u w:val="single"/>
        </w:rPr>
        <w:t>S</w:t>
      </w:r>
      <w:r>
        <w:rPr>
          <w:b/>
          <w:smallCaps/>
          <w:u w:val="single"/>
        </w:rPr>
        <w:t xml:space="preserve">ummary of </w:t>
      </w:r>
      <w:r>
        <w:rPr>
          <w:b/>
          <w:smallCaps/>
          <w:sz w:val="24"/>
          <w:u w:val="single"/>
        </w:rPr>
        <w:t>Q</w:t>
      </w:r>
      <w:r>
        <w:rPr>
          <w:b/>
          <w:smallCaps/>
          <w:u w:val="single"/>
        </w:rPr>
        <w:t>ualifications:</w:t>
      </w:r>
    </w:p>
    <w:p>
      <w:pPr>
        <w:pStyle w:val="Normal"/>
        <w:tabs>
          <w:tab w:val="clear" w:pos="720"/>
          <w:tab w:val="left" w:pos="0" w:leader="none"/>
        </w:tabs>
        <w:suppressAutoHyphens w:val="true"/>
        <w:rPr/>
      </w:pPr>
      <w:r>
        <w:rPr/>
      </w:r>
    </w:p>
    <w:p>
      <w:pPr>
        <w:pStyle w:val="Normal"/>
        <w:numPr>
          <w:ilvl w:val="0"/>
          <w:numId w:val="1"/>
        </w:numPr>
        <w:tabs>
          <w:tab w:val="clear" w:pos="720"/>
          <w:tab w:val="left" w:pos="0" w:leader="none"/>
        </w:tabs>
        <w:suppressAutoHyphens w:val="true"/>
        <w:ind w:hanging="360" w:start="720" w:end="0"/>
        <w:rPr/>
      </w:pPr>
      <w:r>
        <w:rPr/>
        <w:t xml:space="preserve">Financial, Regulatory and General Practice attorney. J.D. </w:t>
      </w:r>
      <w:r>
        <w:rPr>
          <w:i/>
        </w:rPr>
        <w:t>cum laude</w:t>
      </w:r>
      <w:r>
        <w:rPr/>
        <w:t xml:space="preserve"> (Creighton) and LL.M. in Securities and Financial Regulation </w:t>
      </w:r>
      <w:r>
        <w:rPr>
          <w:i/>
        </w:rPr>
        <w:t>with distinction</w:t>
      </w:r>
      <w:r>
        <w:rPr/>
        <w:t xml:space="preserve"> (Georgetown), seeks challenging legal position with innovative, progressive employer to work in corporate and business law, finance, securities, capital markets, contract law, negotiation, litigation, administrative law, banking, consumer compliance areas, or other similar areas.  Recently started second LL.M. in Taxation at Georgetown.</w:t>
      </w:r>
    </w:p>
    <w:p>
      <w:pPr>
        <w:pStyle w:val="Normal"/>
        <w:numPr>
          <w:ilvl w:val="0"/>
          <w:numId w:val="2"/>
        </w:numPr>
        <w:tabs>
          <w:tab w:val="clear" w:pos="720"/>
          <w:tab w:val="left" w:pos="-2070" w:leader="none"/>
          <w:tab w:val="left" w:pos="605" w:leader="none"/>
        </w:tabs>
        <w:suppressAutoHyphens w:val="true"/>
        <w:rPr/>
      </w:pPr>
      <w:r>
        <w:rPr/>
        <w:t>Over 16 years Government Regulatory, Enforcement and  Private Practice experience including Litigation Management of high-dollar Trial and Appellate suits involving Government Contracts, Professional Liability of Securities Brokers, Real Estate Brokers and Appraisers, Attorneys. Bank Supervisory and Regulatory Compliance, Administrative Enforcement cases, and Legislative work.</w:t>
      </w:r>
    </w:p>
    <w:p>
      <w:pPr>
        <w:pStyle w:val="Normal"/>
        <w:numPr>
          <w:ilvl w:val="0"/>
          <w:numId w:val="2"/>
        </w:numPr>
        <w:tabs>
          <w:tab w:val="clear" w:pos="720"/>
          <w:tab w:val="left" w:pos="-2070" w:leader="none"/>
        </w:tabs>
        <w:suppressAutoHyphens w:val="true"/>
        <w:rPr/>
      </w:pPr>
      <w:r>
        <w:rPr/>
        <w:t>Graduate Legal Education: Concentration in Business Law and Federal Securities Laws (1933 and 1934 Acts); Blue Sky laws; Investment Companies and Advisors (1940 Acts); Securities Activities of Banks and Insurance Companies; Commodity Futures Transactions; Derivatives; Small Business Financing and Venture Capital; Financial and Economic Aspects of Securities Regulation; Mergers &amp; Acquisitions; Regulation of Financial Institutions; etc.</w:t>
      </w:r>
    </w:p>
    <w:p>
      <w:pPr>
        <w:pStyle w:val="Normal"/>
        <w:numPr>
          <w:ilvl w:val="0"/>
          <w:numId w:val="1"/>
        </w:numPr>
        <w:tabs>
          <w:tab w:val="clear" w:pos="720"/>
          <w:tab w:val="left" w:pos="0" w:leader="none"/>
        </w:tabs>
        <w:suppressAutoHyphens w:val="true"/>
        <w:ind w:hanging="360" w:start="720" w:end="0"/>
        <w:rPr/>
      </w:pPr>
      <w:r>
        <w:rPr/>
        <w:t>Especially skilled at building lasting client relationships. Highly motivated, results-oriented, team player with strong management, organizational and interpersonal skills. Self starter with excellent analytical and communication skills.</w:t>
      </w:r>
    </w:p>
    <w:p>
      <w:pPr>
        <w:pStyle w:val="Normal"/>
        <w:numPr>
          <w:ilvl w:val="0"/>
          <w:numId w:val="2"/>
        </w:numPr>
        <w:tabs>
          <w:tab w:val="clear" w:pos="720"/>
          <w:tab w:val="left" w:pos="-2070" w:leader="none"/>
        </w:tabs>
        <w:suppressAutoHyphens w:val="true"/>
        <w:rPr/>
      </w:pPr>
      <w:r>
        <w:rPr/>
        <w:t>Chairman FDIC Legal Division Technical Committee; strong PC, hardware, software, internet and intranet skills.  Currently enrolled part-time in Masters of Technology Management - Univ. of Maryland.</w:t>
      </w:r>
    </w:p>
    <w:p>
      <w:pPr>
        <w:pStyle w:val="Normal"/>
        <w:numPr>
          <w:ilvl w:val="0"/>
          <w:numId w:val="2"/>
        </w:numPr>
        <w:tabs>
          <w:tab w:val="clear" w:pos="720"/>
          <w:tab w:val="left" w:pos="-2070" w:leader="none"/>
          <w:tab w:val="left" w:pos="605" w:leader="none"/>
        </w:tabs>
        <w:suppressAutoHyphens w:val="true"/>
        <w:rPr/>
      </w:pPr>
      <w:r>
        <w:rPr/>
        <w:t>Member of elite four person Washington Team to analyze, develop, recommend, implement and direct compromises, settlements, litigation or alternative workout plans to General Counsel, Executive Committee and CEO to resolve complex, matters - National in scope - with values up to $260 million.</w:t>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jc w:val="center"/>
        <w:rPr>
          <w:b/>
          <w:smallCaps/>
          <w:u w:val="double"/>
        </w:rPr>
      </w:pPr>
      <w:r>
        <w:rPr>
          <w:b/>
          <w:smallCaps/>
          <w:sz w:val="28"/>
          <w:u w:val="double"/>
        </w:rPr>
        <w:t>E</w:t>
      </w:r>
      <w:r>
        <w:rPr>
          <w:b/>
          <w:caps/>
          <w:u w:val="double"/>
        </w:rPr>
        <w:t>xperience</w:t>
      </w:r>
      <w:r>
        <w:rPr>
          <w:b/>
          <w:smallCaps/>
          <w:sz w:val="28"/>
          <w:u w:val="double"/>
        </w:rPr>
        <w:t xml:space="preserve"> and Accomplishments</w:t>
      </w:r>
    </w:p>
    <w:p>
      <w:pPr>
        <w:pStyle w:val="Normal"/>
        <w:tabs>
          <w:tab w:val="clear" w:pos="720"/>
          <w:tab w:val="left" w:pos="0" w:leader="none"/>
        </w:tabs>
        <w:suppressAutoHyphens w:val="true"/>
        <w:rPr>
          <w:b/>
          <w:smallCaps/>
          <w:u w:val="double"/>
        </w:rPr>
      </w:pPr>
      <w:r>
        <w:rPr>
          <w:b/>
          <w:smallCaps/>
          <w:u w:val="double"/>
        </w:rPr>
      </w:r>
    </w:p>
    <w:p>
      <w:pPr>
        <w:pStyle w:val="Normal"/>
        <w:tabs>
          <w:tab w:val="clear" w:pos="720"/>
          <w:tab w:val="left" w:pos="0" w:leader="none"/>
        </w:tabs>
        <w:suppressAutoHyphens w:val="true"/>
        <w:rPr/>
      </w:pPr>
      <w:r>
        <w:rPr/>
      </w:r>
    </w:p>
    <w:p>
      <w:pPr>
        <w:pStyle w:val="Normal"/>
        <w:tabs>
          <w:tab w:val="clear" w:pos="720"/>
          <w:tab w:val="left" w:pos="0" w:leader="none"/>
        </w:tabs>
        <w:suppressAutoHyphens w:val="true"/>
        <w:rPr/>
      </w:pPr>
      <w:r>
        <w:rPr>
          <w:b/>
          <w:smallCaps/>
          <w:sz w:val="24"/>
          <w:u w:val="single"/>
        </w:rPr>
        <w:t>F</w:t>
      </w:r>
      <w:r>
        <w:rPr>
          <w:b/>
          <w:smallCaps/>
          <w:u w:val="single"/>
        </w:rPr>
        <w:t xml:space="preserve">ederal </w:t>
      </w:r>
      <w:r>
        <w:rPr>
          <w:b/>
          <w:smallCaps/>
          <w:sz w:val="24"/>
          <w:u w:val="single"/>
        </w:rPr>
        <w:t>D</w:t>
      </w:r>
      <w:r>
        <w:rPr>
          <w:b/>
          <w:smallCaps/>
          <w:u w:val="single"/>
        </w:rPr>
        <w:t xml:space="preserve">eposit </w:t>
      </w:r>
      <w:r>
        <w:rPr>
          <w:b/>
          <w:smallCaps/>
          <w:sz w:val="24"/>
          <w:u w:val="single"/>
        </w:rPr>
        <w:t>I</w:t>
      </w:r>
      <w:r>
        <w:rPr>
          <w:b/>
          <w:smallCaps/>
          <w:u w:val="single"/>
        </w:rPr>
        <w:t xml:space="preserve">nsurance </w:t>
      </w:r>
      <w:r>
        <w:rPr>
          <w:b/>
          <w:smallCaps/>
          <w:sz w:val="24"/>
          <w:u w:val="single"/>
        </w:rPr>
        <w:t>C</w:t>
      </w:r>
      <w:r>
        <w:rPr>
          <w:b/>
          <w:smallCaps/>
          <w:u w:val="single"/>
        </w:rPr>
        <w:t>orporation:</w:t>
      </w:r>
      <w:r>
        <w:rPr>
          <w:smallCaps/>
        </w:rPr>
        <w:tab/>
        <w:tab/>
        <w:tab/>
        <w:tab/>
        <w:tab/>
        <w:t>1985 - Present</w:t>
      </w:r>
    </w:p>
    <w:p>
      <w:pPr>
        <w:pStyle w:val="Normal"/>
        <w:tabs>
          <w:tab w:val="clear" w:pos="720"/>
          <w:tab w:val="left" w:pos="0" w:leader="none"/>
        </w:tabs>
        <w:suppressAutoHyphens w:val="true"/>
        <w:rPr>
          <w:smallCaps/>
        </w:rPr>
      </w:pPr>
      <w:r>
        <w:rPr>
          <w:smallCaps/>
        </w:rPr>
      </w:r>
    </w:p>
    <w:p>
      <w:pPr>
        <w:pStyle w:val="Normal"/>
        <w:numPr>
          <w:ilvl w:val="0"/>
          <w:numId w:val="2"/>
        </w:numPr>
        <w:rPr/>
      </w:pPr>
      <w:r>
        <w:rPr/>
        <w:t>Coordinated bank regulatory efforts with State and Federal Regulatory Agencies.</w:t>
      </w:r>
    </w:p>
    <w:p>
      <w:pPr>
        <w:pStyle w:val="Normal"/>
        <w:numPr>
          <w:ilvl w:val="0"/>
          <w:numId w:val="2"/>
        </w:numPr>
        <w:rPr/>
      </w:pPr>
      <w:r>
        <w:rPr/>
        <w:t>Managed and directed high-dollar appellate and trial litigation, including complex professional liability claims involving legal malpractice, Fidelity Bond Claims, and Securities Fraud.</w:t>
      </w:r>
    </w:p>
    <w:p>
      <w:pPr>
        <w:pStyle w:val="Normal"/>
        <w:numPr>
          <w:ilvl w:val="0"/>
          <w:numId w:val="2"/>
        </w:numPr>
        <w:tabs>
          <w:tab w:val="clear" w:pos="720"/>
          <w:tab w:val="left" w:pos="-1350" w:leader="none"/>
          <w:tab w:val="left" w:pos="-90" w:leader="none"/>
        </w:tabs>
        <w:suppressAutoHyphens w:val="true"/>
        <w:rPr/>
      </w:pPr>
      <w:r>
        <w:rPr/>
        <w:t>Supervised legal staff in support of Contracting Office awarding multi-million dollar contracts.  Developed business and legal strategies, performed risk analysis, negotiated settlements in Major Contract Disputes ranging in size from $100,000 dollars to $20 million dollars.</w:t>
      </w:r>
    </w:p>
    <w:p>
      <w:pPr>
        <w:pStyle w:val="Normal"/>
        <w:numPr>
          <w:ilvl w:val="0"/>
          <w:numId w:val="2"/>
        </w:numPr>
        <w:tabs>
          <w:tab w:val="clear" w:pos="720"/>
          <w:tab w:val="left" w:pos="-1350" w:leader="none"/>
          <w:tab w:val="left" w:pos="-90" w:leader="none"/>
        </w:tabs>
        <w:suppressAutoHyphens w:val="true"/>
        <w:rPr/>
      </w:pPr>
      <w:r>
        <w:rPr/>
        <w:t>Analyzed and issued opinions regarding proposed legislation and current laws administered by the FDIC, including compliance and safety and soundness requirements.</w:t>
      </w:r>
    </w:p>
    <w:p>
      <w:pPr>
        <w:pStyle w:val="Normal"/>
        <w:numPr>
          <w:ilvl w:val="0"/>
          <w:numId w:val="2"/>
        </w:numPr>
        <w:tabs>
          <w:tab w:val="clear" w:pos="720"/>
          <w:tab w:val="left" w:pos="-1350" w:leader="none"/>
          <w:tab w:val="left" w:pos="-90" w:leader="none"/>
        </w:tabs>
        <w:suppressAutoHyphens w:val="true"/>
        <w:rPr/>
      </w:pPr>
      <w:r>
        <w:rPr/>
        <w:t>Reviewed feasibility and legal sufficiency of enforcement cases against financial institutions, suggested alternative methods to improve  supervisory and regulatory compliance.  Suggested improvements to administrative orders and various procedures which were adopted as standard for the Corporation.</w:t>
      </w:r>
    </w:p>
    <w:p>
      <w:pPr>
        <w:pStyle w:val="Normal"/>
        <w:numPr>
          <w:ilvl w:val="0"/>
          <w:numId w:val="2"/>
        </w:numPr>
        <w:rPr/>
      </w:pPr>
      <w:r>
        <w:rPr/>
        <w:t>Provided legal support for and participated in complex negotiations to sell failed Financial Institutions. Served as Tax Specialist for bank purchase tax effects.</w:t>
      </w:r>
    </w:p>
    <w:p>
      <w:pPr>
        <w:pStyle w:val="Normal"/>
        <w:numPr>
          <w:ilvl w:val="0"/>
          <w:numId w:val="2"/>
        </w:numPr>
        <w:tabs>
          <w:tab w:val="clear" w:pos="720"/>
          <w:tab w:val="left" w:pos="-1350" w:leader="none"/>
          <w:tab w:val="left" w:pos="-90" w:leader="none"/>
        </w:tabs>
        <w:suppressAutoHyphens w:val="true"/>
        <w:rPr/>
      </w:pPr>
      <w:r>
        <w:rPr/>
        <w:t>Supervised eight legal offices and sections for FDIC with staffs up to 90 employees, as well as in private industry.</w:t>
      </w:r>
    </w:p>
    <w:p>
      <w:pPr>
        <w:pStyle w:val="Normal"/>
        <w:numPr>
          <w:ilvl w:val="0"/>
          <w:numId w:val="2"/>
        </w:numPr>
        <w:tabs>
          <w:tab w:val="clear" w:pos="720"/>
          <w:tab w:val="left" w:pos="-1350" w:leader="none"/>
          <w:tab w:val="left" w:pos="-90" w:leader="none"/>
        </w:tabs>
        <w:suppressAutoHyphens w:val="true"/>
        <w:rPr/>
      </w:pPr>
      <w:r>
        <w:rPr/>
        <w:t>Member of section responsible for oversight and direction of eight legal Regional Field Offices.</w:t>
      </w:r>
    </w:p>
    <w:p>
      <w:pPr>
        <w:pStyle w:val="Normal"/>
        <w:numPr>
          <w:ilvl w:val="0"/>
          <w:numId w:val="2"/>
        </w:numPr>
        <w:rPr/>
      </w:pPr>
      <w:r>
        <w:rPr/>
        <w:t>Represented Legal Division as sole voting member on four person National Settlement Workout Team with authority to resolve disputes up to $100 million; expenditure authority of $30 million.</w:t>
      </w:r>
    </w:p>
    <w:p>
      <w:pPr>
        <w:pStyle w:val="Normal"/>
        <w:numPr>
          <w:ilvl w:val="0"/>
          <w:numId w:val="2"/>
        </w:numPr>
        <w:rPr/>
      </w:pPr>
      <w:r>
        <w:rPr/>
        <w:t>Developed, implemented and recommended litigation compromises, settlements or alternative work-out plans to General Counsel, Executive Committee and CEO to resolve complex, matters National in scope with values up to $260 million.</w:t>
      </w:r>
    </w:p>
    <w:p>
      <w:pPr>
        <w:pStyle w:val="Normal"/>
        <w:numPr>
          <w:ilvl w:val="0"/>
          <w:numId w:val="2"/>
        </w:numPr>
        <w:tabs>
          <w:tab w:val="clear" w:pos="720"/>
          <w:tab w:val="left" w:pos="-1530" w:leader="none"/>
        </w:tabs>
        <w:suppressAutoHyphens w:val="true"/>
        <w:rPr/>
      </w:pPr>
      <w:r>
        <w:rPr/>
        <w:t xml:space="preserve">Represented FDIC in seminars at various legal conferences and jointly with other Federal agencies. </w:t>
      </w:r>
    </w:p>
    <w:p>
      <w:pPr>
        <w:pStyle w:val="Normal"/>
        <w:tabs>
          <w:tab w:val="clear" w:pos="720"/>
          <w:tab w:val="left" w:pos="0" w:leader="none"/>
        </w:tabs>
        <w:suppressAutoHyphens w:val="true"/>
        <w:rPr>
          <w:smallCaps/>
          <w:u w:val="single"/>
        </w:rPr>
      </w:pPr>
      <w:r>
        <w:rPr>
          <w:smallCaps/>
          <w:u w:val="single"/>
        </w:rPr>
      </w:r>
    </w:p>
    <w:p>
      <w:pPr>
        <w:pStyle w:val="Normal"/>
        <w:tabs>
          <w:tab w:val="clear" w:pos="720"/>
          <w:tab w:val="left" w:pos="0" w:leader="none"/>
        </w:tabs>
        <w:suppressAutoHyphens w:val="true"/>
        <w:rPr>
          <w:smallCaps/>
          <w:u w:val="single"/>
        </w:rPr>
      </w:pPr>
      <w:r>
        <w:rPr>
          <w:smallCaps/>
          <w:u w:val="single"/>
        </w:rPr>
      </w:r>
    </w:p>
    <w:p>
      <w:pPr>
        <w:pStyle w:val="Normal"/>
        <w:tabs>
          <w:tab w:val="clear" w:pos="720"/>
          <w:tab w:val="left" w:pos="0" w:leader="none"/>
        </w:tabs>
        <w:suppressAutoHyphens w:val="true"/>
        <w:rPr/>
      </w:pPr>
      <w:r>
        <w:rPr>
          <w:b/>
          <w:smallCaps/>
          <w:u w:val="single"/>
        </w:rPr>
        <w:t>Partner - Barker, Fenton, Kocourek &amp; Weight, P.C</w:t>
      </w:r>
      <w:r>
        <w:rPr>
          <w:b/>
          <w:u w:val="single"/>
        </w:rPr>
        <w:t>.:</w:t>
      </w:r>
      <w:r>
        <w:rPr/>
        <w:tab/>
        <w:tab/>
        <w:tab/>
        <w:tab/>
        <w:t>1983 - 1985</w:t>
      </w:r>
    </w:p>
    <w:p>
      <w:pPr>
        <w:pStyle w:val="Normal"/>
        <w:tabs>
          <w:tab w:val="clear" w:pos="720"/>
          <w:tab w:val="left" w:pos="0" w:leader="none"/>
        </w:tabs>
        <w:suppressAutoHyphens w:val="true"/>
        <w:rPr/>
      </w:pPr>
      <w:r>
        <w:rPr/>
      </w:r>
    </w:p>
    <w:p>
      <w:pPr>
        <w:pStyle w:val="Normal"/>
        <w:numPr>
          <w:ilvl w:val="0"/>
          <w:numId w:val="2"/>
        </w:numPr>
        <w:tabs>
          <w:tab w:val="clear" w:pos="720"/>
          <w:tab w:val="left" w:pos="0" w:leader="none"/>
        </w:tabs>
        <w:suppressAutoHyphens w:val="true"/>
        <w:rPr/>
      </w:pPr>
      <w:r>
        <w:rPr/>
        <w:t>Partner in general practice law firm, including general litigation, corporate law, banking law, tax planning, estate planning, contract negotiation, real estate, secured transactions and other areas.</w:t>
      </w:r>
    </w:p>
    <w:p>
      <w:pPr>
        <w:pStyle w:val="Normal"/>
        <w:suppressAutoHyphens w:val="true"/>
        <w:rPr/>
      </w:pPr>
      <w:r>
        <w:rPr/>
      </w:r>
    </w:p>
    <w:p>
      <w:pPr>
        <w:pStyle w:val="Normal"/>
        <w:suppressAutoHyphens w:val="true"/>
        <w:rPr/>
      </w:pPr>
      <w:r>
        <w:rPr/>
      </w:r>
    </w:p>
    <w:p>
      <w:pPr>
        <w:pStyle w:val="Normal"/>
        <w:suppressAutoHyphens w:val="true"/>
        <w:jc w:val="center"/>
        <w:rPr>
          <w:b/>
        </w:rPr>
      </w:pPr>
      <w:r>
        <w:rPr>
          <w:b/>
          <w:sz w:val="28"/>
          <w:u w:val="double"/>
        </w:rPr>
        <w:t>L</w:t>
      </w:r>
      <w:r>
        <w:rPr>
          <w:b/>
          <w:smallCaps/>
          <w:u w:val="double"/>
        </w:rPr>
        <w:t>EGAL</w:t>
      </w:r>
      <w:r>
        <w:rPr>
          <w:b/>
          <w:smallCaps/>
          <w:sz w:val="28"/>
          <w:u w:val="double"/>
        </w:rPr>
        <w:t xml:space="preserve"> </w:t>
      </w:r>
      <w:r>
        <w:rPr>
          <w:b/>
          <w:sz w:val="28"/>
          <w:u w:val="double"/>
        </w:rPr>
        <w:t>E</w:t>
      </w:r>
      <w:r>
        <w:rPr>
          <w:b/>
          <w:u w:val="double"/>
        </w:rPr>
        <w:t>DUCATION</w:t>
      </w:r>
    </w:p>
    <w:p>
      <w:pPr>
        <w:pStyle w:val="Normal"/>
        <w:suppressAutoHyphens w:val="true"/>
        <w:rPr>
          <w:b/>
        </w:rPr>
      </w:pPr>
      <w:r>
        <w:rPr>
          <w:b/>
        </w:rPr>
      </w:r>
    </w:p>
    <w:p>
      <w:pPr>
        <w:pStyle w:val="Normal"/>
        <w:suppressAutoHyphens w:val="true"/>
        <w:rPr/>
      </w:pPr>
      <w:r>
        <w:rPr/>
        <w:t>Georgetown University Law Center</w:t>
        <w:tab/>
        <w:tab/>
        <w:tab/>
        <w:tab/>
        <w:tab/>
        <w:tab/>
        <w:t>LL.M.</w:t>
      </w:r>
      <w:r>
        <w:rPr>
          <w:i/>
        </w:rPr>
        <w:t xml:space="preserve"> with distinction</w:t>
      </w:r>
    </w:p>
    <w:p>
      <w:pPr>
        <w:pStyle w:val="Normal"/>
        <w:suppressAutoHyphens w:val="true"/>
        <w:rPr/>
      </w:pPr>
      <w:r>
        <w:rPr/>
        <w:t>Washington, D.C.</w:t>
        <w:tab/>
        <w:tab/>
        <w:tab/>
        <w:tab/>
        <w:tab/>
        <w:tab/>
        <w:tab/>
        <w:tab/>
        <w:t>Securities and Financial</w:t>
      </w:r>
    </w:p>
    <w:p>
      <w:pPr>
        <w:pStyle w:val="Normal"/>
        <w:suppressAutoHyphens w:val="true"/>
        <w:ind w:start="7560" w:end="0"/>
        <w:rPr/>
      </w:pPr>
      <w:r>
        <w:rPr/>
        <w:t>Regulation</w:t>
      </w:r>
    </w:p>
    <w:p>
      <w:pPr>
        <w:pStyle w:val="Normal"/>
        <w:suppressAutoHyphens w:val="true"/>
        <w:rPr/>
      </w:pPr>
      <w:r>
        <w:rPr/>
      </w:r>
    </w:p>
    <w:p>
      <w:pPr>
        <w:pStyle w:val="Normal"/>
        <w:tabs>
          <w:tab w:val="clear" w:pos="720"/>
          <w:tab w:val="left" w:pos="0" w:leader="none"/>
        </w:tabs>
        <w:suppressAutoHyphens w:val="true"/>
        <w:rPr/>
      </w:pPr>
      <w:r>
        <w:rPr/>
        <w:t>Creighton University School of Law</w:t>
        <w:tab/>
        <w:tab/>
        <w:tab/>
        <w:tab/>
        <w:tab/>
        <w:tab/>
        <w:t xml:space="preserve">J.D. </w:t>
      </w:r>
      <w:r>
        <w:rPr>
          <w:i/>
        </w:rPr>
        <w:t>cum laude</w:t>
      </w:r>
    </w:p>
    <w:p>
      <w:pPr>
        <w:pStyle w:val="Normal"/>
        <w:tabs>
          <w:tab w:val="clear" w:pos="720"/>
          <w:tab w:val="left" w:pos="0" w:leader="none"/>
        </w:tabs>
        <w:suppressAutoHyphens w:val="true"/>
        <w:rPr/>
      </w:pPr>
      <w:r>
        <w:rPr/>
        <w:t>Omaha, Nebraska</w:t>
      </w:r>
    </w:p>
    <w:p>
      <w:pPr>
        <w:pStyle w:val="Normal"/>
        <w:tabs>
          <w:tab w:val="clear" w:pos="720"/>
          <w:tab w:val="left" w:pos="0" w:leader="none"/>
        </w:tabs>
        <w:suppressAutoHyphens w:val="true"/>
        <w:rPr/>
      </w:pPr>
      <w:r>
        <w:rPr/>
      </w:r>
    </w:p>
    <w:p>
      <w:pPr>
        <w:pStyle w:val="Normal"/>
        <w:suppressAutoHyphens w:val="true"/>
        <w:jc w:val="center"/>
        <w:rPr/>
      </w:pPr>
      <w:r>
        <w:rPr>
          <w:b/>
          <w:smallCaps/>
          <w:sz w:val="28"/>
          <w:u w:val="double"/>
        </w:rPr>
        <w:t>A</w:t>
      </w:r>
      <w:r>
        <w:rPr>
          <w:b/>
          <w:smallCaps/>
          <w:u w:val="double"/>
        </w:rPr>
        <w:t>wards</w:t>
      </w:r>
    </w:p>
    <w:p>
      <w:pPr>
        <w:pStyle w:val="Normal"/>
        <w:suppressAutoHyphens w:val="true"/>
        <w:rPr/>
      </w:pPr>
      <w:r>
        <w:rPr/>
      </w:r>
    </w:p>
    <w:p>
      <w:pPr>
        <w:pStyle w:val="Normal"/>
        <w:suppressAutoHyphens w:val="true"/>
        <w:jc w:val="center"/>
        <w:rPr/>
      </w:pPr>
      <w:r>
        <w:rPr/>
        <w:t>“</w:t>
      </w:r>
      <w:r>
        <w:rPr/>
        <w:t>Outstanding” and “Superior” Performance Evaluations</w:t>
      </w:r>
    </w:p>
    <w:p>
      <w:pPr>
        <w:pStyle w:val="Normal"/>
        <w:suppressAutoHyphens w:val="true"/>
        <w:jc w:val="center"/>
        <w:rPr/>
      </w:pPr>
      <w:r>
        <w:rPr/>
        <w:t>Sustained Superior Performance Award (Three Year Period)</w:t>
      </w:r>
    </w:p>
    <w:p>
      <w:pPr>
        <w:pStyle w:val="Normal"/>
        <w:suppressAutoHyphens w:val="true"/>
        <w:jc w:val="center"/>
        <w:rPr/>
      </w:pPr>
      <w:r>
        <w:rPr/>
        <w:t>Star Award; General Counsel’s Award; Three Special Act Awards</w:t>
      </w:r>
    </w:p>
    <w:p>
      <w:pPr>
        <w:pStyle w:val="Normal"/>
        <w:suppressAutoHyphens w:val="true"/>
        <w:jc w:val="center"/>
        <w:rPr/>
      </w:pPr>
      <w:r>
        <w:rPr/>
        <w:t xml:space="preserve">Several Quality Step Increase Awards, etc. </w:t>
      </w:r>
    </w:p>
    <w:p>
      <w:pPr>
        <w:pStyle w:val="Normal"/>
        <w:suppressAutoHyphens w:val="true"/>
        <w:rPr/>
      </w:pPr>
      <w:r>
        <w:rPr/>
      </w:r>
    </w:p>
    <w:sectPr>
      <w:footerReference w:type="default" r:id="rId2"/>
      <w:type w:val="nextPage"/>
      <w:pgSz w:w="12240" w:h="15840"/>
      <w:pgMar w:left="1296" w:right="1296" w:gutter="0" w:header="0" w:top="115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Wayne Weight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1999-03-16T09:28:00Z</dcterms:created>
  <dc:creator>Wayne Weight</dc:creator>
  <dc:description/>
  <dc:language>en-CA</dc:language>
  <cp:lastModifiedBy>Wayne Weight</cp:lastModifiedBy>
  <cp:lastPrinted>2000-03-24T06:04:00Z</cp:lastPrinted>
  <dcterms:modified xsi:type="dcterms:W3CDTF">2000-04-25T20:58:00Z</dcterms:modified>
  <cp:revision>18</cp:revision>
  <dc:subject/>
  <dc:title>WAYNE V</dc:title>
</cp:coreProperties>
</file>