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perTitle"/>
        <w:spacing w:before="120" w:after="120"/>
        <w:ind w:hanging="0" w:end="0"/>
        <w:rPr>
          <w:sz w:val="28"/>
        </w:rPr>
      </w:pPr>
      <w:r>
        <w:rPr>
          <w:sz w:val="28"/>
        </w:rPr>
        <w:t xml:space="preserve">Transforming Enron Corporation as an Act of Managerial Will—The Value of Active Management </w:t>
      </w:r>
    </w:p>
    <w:p>
      <w:pPr>
        <w:pStyle w:val="BodyText"/>
        <w:spacing w:before="0" w:after="0"/>
        <w:ind w:hanging="0" w:end="0"/>
        <w:jc w:val="center"/>
        <w:rPr>
          <w:sz w:val="20"/>
        </w:rPr>
      </w:pPr>
      <w:r>
        <w:rPr>
          <w:sz w:val="20"/>
        </w:rPr>
        <w:t>Vince Kaminski, PhD (Director of Research, Enron Corporation, Houston, TX), Stinson Gibner, PhD (Vice President—Research, Enron Corporation, Houston, TX), and John Martin, PhD (Carr P. Collins Chair of Finance, Baylor University, Waco, TX)</w:t>
      </w:r>
    </w:p>
    <w:p>
      <w:pPr>
        <w:pStyle w:val="Heading1"/>
        <w:rPr>
          <w:sz w:val="24"/>
        </w:rPr>
      </w:pPr>
      <w:r>
        <w:rPr>
          <w:sz w:val="24"/>
        </w:rPr>
        <w:t>Introduction</w:t>
      </w:r>
    </w:p>
    <w:p>
      <w:pPr>
        <w:pStyle w:val="Normal"/>
        <w:rPr/>
      </w:pPr>
      <w:r>
        <w:rPr>
          <w:sz w:val="20"/>
        </w:rPr>
        <w:t>Look at any company that has existed for at least fifty years and you will find a story of transformation.  The typical transformation process is one of reaction to changes in the firm's environment.  If the reaction is successful the firm survives.  For example, most of us know Nokia as a leading provider of wireless phones.  What you may not know is that Nokia was formed in 1865 to harvest forest products near the small town of Nokia, Finland.   Over many years the company evolved into the successful firm we know today.</w:t>
      </w:r>
      <w:r>
        <w:rPr>
          <w:rStyle w:val="FootnoteCharacters"/>
          <w:rStyle w:val="FootnoteReference"/>
        </w:rPr>
        <w:footnoteReference w:id="2"/>
      </w:r>
      <w:r>
        <w:rPr>
          <w:sz w:val="20"/>
        </w:rPr>
        <w:t xml:space="preserve">  </w:t>
      </w:r>
    </w:p>
    <w:p>
      <w:pPr>
        <w:pStyle w:val="Normal"/>
        <w:rPr/>
      </w:pPr>
      <w:r>
        <w:rPr>
          <w:sz w:val="20"/>
        </w:rPr>
        <w:t>There are instances, however, where a firm's leadership actively pursues change in an effort to increase the competitiveness of the organization.  The Sealed Air Corporation provides one such example.</w:t>
      </w:r>
      <w:r>
        <w:rPr>
          <w:rStyle w:val="FootnoteCharacters"/>
          <w:rStyle w:val="FootnoteReference"/>
        </w:rPr>
        <w:footnoteReference w:id="3"/>
      </w:r>
      <w:r>
        <w:rPr>
          <w:sz w:val="20"/>
        </w:rPr>
        <w:t xml:space="preserve">  In 1989, less than a year after the firm had embarked on a program to improve manufacturing efficiency and product quality, the company borrowed almost 90% of the market value of its common stock and paid it out as a special dividend to shareholders.  Management purposefully and successfully used the leveraged recapitalization as a watershed event, creating a crisis that disrupted the status quo and promoted internal change.  Internal changes included establishing a new objective, changing compensation systems, and reorganizing manufacturing and capital budgeting processes.  However, even this dramatic transformation was in large part a reaction to the fact that Sealed Air was losing its product patents and was faced with the prospect of entering a very competitive environment for the first time in its existence.  The Enron transformation story is equally dramatic, and its impact may well prove to be longer lasting.  This is the story of the transformation of the Enron Corporation from a natural gas pipeline company into America's most innovative company.  </w:t>
      </w:r>
    </w:p>
    <w:p>
      <w:pPr>
        <w:pStyle w:val="Normal"/>
        <w:spacing w:before="120" w:after="120"/>
        <w:rPr/>
      </w:pPr>
      <w:r>
        <w:rPr>
          <w:sz w:val="20"/>
        </w:rPr>
        <w:t>In this paper we describe for the first time the blueprint used by Enron's leadership to transform the company into a dynamic and innovative value creator.  We document the implementation of Enron's business strategy through a series of successful ventures.  These stories document a purposeful transformation of a natural gas pipeline company operating in a regulated industry into the dynamic entrepreneurial enterprise that has literally redefined the power industry and is the leading creator of financial derivative products not only for energy related products but also for new economy products and even the weather.</w:t>
      </w:r>
      <w:r>
        <w:rPr/>
        <w:t xml:space="preserve">   </w:t>
      </w:r>
    </w:p>
    <w:sectPr>
      <w:footerReference w:type="default" r:id="rId2"/>
      <w:footnotePr>
        <w:numFmt w:val="decimal"/>
      </w:footnotePr>
      <w:type w:val="nextPage"/>
      <w:pgSz w:w="12240" w:h="15840"/>
      <w:pgMar w:left="1728" w:right="1800" w:gutter="0" w:header="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rPr/>
    </w:pPr>
    <w:r>
      <w:rPr>
        <w:sz w:val="20"/>
      </w:rPr>
      <w:t>Confidential</w:t>
      <w:tab/>
      <w:t xml:space="preserve">Page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uto" w:line="240" w:before="120" w:after="120"/>
        <w:rPr/>
      </w:pPr>
      <w:r>
        <w:rPr>
          <w:rStyle w:val="FootnoteCharacters"/>
        </w:rPr>
        <w:footnoteRef/>
      </w:r>
      <w:r>
        <w:rPr/>
        <w:t xml:space="preserve"> </w:t>
      </w:r>
      <w:r>
        <w:rPr/>
        <w:t xml:space="preserve">In 1975 newly appointed CEO Kari Kairamo began the process of changing the firm's corporate focus from forest products to consumer electronics.  In 1981 Nokia acquired 51% of the Finnish telecommunications company (Telenokia) and begins manufacturing mobile phones in 1986.  Throughout this period Nokia continued to own and operate a variety of businesses including paper, television, printed circuit boards, and tires.  </w:t>
      </w:r>
    </w:p>
  </w:footnote>
  <w:footnote w:id="3">
    <w:p>
      <w:pPr>
        <w:pStyle w:val="FootnoteText"/>
        <w:spacing w:lineRule="auto" w:line="240" w:before="120" w:after="120"/>
        <w:rPr/>
      </w:pPr>
      <w:r>
        <w:rPr>
          <w:rStyle w:val="FootnoteCharacters"/>
        </w:rPr>
        <w:footnoteRef/>
      </w:r>
      <w:r>
        <w:rPr/>
        <w:t xml:space="preserve"> </w:t>
      </w:r>
      <w:r>
        <w:rPr/>
        <w:t>See Wruck (1994) for a detailed discussion of the Sealed Air recapitalization story.</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120" w:after="120"/>
      <w:jc w:val="both"/>
    </w:pPr>
    <w:rPr>
      <w:rFonts w:ascii="Times New Roman" w:hAnsi="Times New Roman" w:eastAsia="Times New Roman" w:cs="Times New Roman"/>
      <w:bCs/>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ind w:hanging="0" w:start="0" w:end="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120"/>
      <w:ind w:hanging="0" w:start="0" w:end="0"/>
      <w:outlineLvl w:val="1"/>
    </w:pPr>
    <w:rPr>
      <w:rFonts w:ascii="Arial" w:hAnsi="Arial" w:cs="Arial"/>
      <w:b/>
      <w:i/>
    </w:rPr>
  </w:style>
  <w:style w:type="paragraph" w:styleId="Heading3">
    <w:name w:val="heading 3"/>
    <w:basedOn w:val="Normal"/>
    <w:next w:val="Normal"/>
    <w:qFormat/>
    <w:pPr>
      <w:keepNext w:val="true"/>
      <w:numPr>
        <w:ilvl w:val="2"/>
        <w:numId w:val="1"/>
      </w:numPr>
      <w:spacing w:before="120" w:after="120"/>
      <w:jc w:val="both"/>
      <w:outlineLvl w:val="2"/>
    </w:pPr>
    <w:rPr>
      <w:rFonts w:ascii="Arial" w:hAnsi="Arial" w:cs="Arial"/>
      <w:i/>
    </w:rPr>
  </w:style>
  <w:style w:type="paragraph" w:styleId="Heading4">
    <w:name w:val="heading 4"/>
    <w:basedOn w:val="Normal"/>
    <w:next w:val="Normal"/>
    <w:qFormat/>
    <w:pPr>
      <w:keepNext w:val="true"/>
      <w:numPr>
        <w:ilvl w:val="3"/>
        <w:numId w:val="1"/>
      </w:numPr>
      <w:spacing w:before="120" w:after="120"/>
      <w:ind w:firstLine="720" w:start="0" w:end="0"/>
      <w:jc w:val="center"/>
      <w:outlineLvl w:val="3"/>
    </w:pPr>
    <w:rPr>
      <w:i/>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20"/>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firstLine="720" w:start="0" w:end="0"/>
    </w:pPr>
    <w:rPr>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aperTitle">
    <w:name w:val="PaperTitle"/>
    <w:basedOn w:val="Normal"/>
    <w:qFormat/>
    <w:pPr>
      <w:ind w:firstLine="720" w:start="0" w:end="0"/>
      <w:jc w:val="center"/>
    </w:pPr>
    <w:rPr>
      <w:sz w:val="32"/>
    </w:rPr>
  </w:style>
  <w:style w:type="paragraph" w:styleId="FootnoteText">
    <w:name w:val="footnote text"/>
    <w:basedOn w:val="Normal"/>
    <w:pPr>
      <w:spacing w:lineRule="auto" w:line="240"/>
    </w:pPr>
    <w:rPr>
      <w:sz w:val="18"/>
    </w:rPr>
  </w:style>
  <w:style w:type="paragraph" w:styleId="BodyTextIndent">
    <w:name w:val="Body Text Indent"/>
    <w:basedOn w:val="Normal"/>
    <w:pPr>
      <w:spacing w:before="120" w:after="120"/>
      <w:ind w:hanging="0" w:start="720" w:end="720"/>
      <w:jc w:val="both"/>
    </w:pPr>
    <w:rPr/>
  </w:style>
  <w:style w:type="paragraph" w:styleId="BodyTextIndent2">
    <w:name w:val="Body Text Indent 2"/>
    <w:basedOn w:val="Normal"/>
    <w:qFormat/>
    <w:pPr/>
    <w:rPr/>
  </w:style>
  <w:style w:type="paragraph" w:styleId="Subtitle">
    <w:name w:val="Subtitle"/>
    <w:basedOn w:val="Normal"/>
    <w:next w:val="BodyText"/>
    <w:qFormat/>
    <w:pPr>
      <w:spacing w:lineRule="auto" w:line="240" w:before="240" w:after="120"/>
      <w:ind w:hanging="0" w:start="0" w:end="0"/>
      <w:jc w:val="start"/>
    </w:pPr>
    <w:rPr>
      <w:b/>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2000-10-11T20:05:00Z</dcterms:created>
  <dc:creator>Casey Computer Center</dc:creator>
  <dc:description/>
  <dc:language>en-CA</dc:language>
  <cp:lastModifiedBy>Casey Computer Center</cp:lastModifiedBy>
  <cp:lastPrinted>2000-10-06T16:24:00Z</cp:lastPrinted>
  <dcterms:modified xsi:type="dcterms:W3CDTF">2000-10-11T20:21:00Z</dcterms:modified>
  <cp:revision>4</cp:revision>
  <dc:subject/>
  <dc:title>Enron Corporation Paper</dc:title>
</cp:coreProperties>
</file>