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76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1890"/>
        <w:gridCol w:w="1890"/>
        <w:gridCol w:w="2430"/>
        <w:gridCol w:w="2340"/>
        <w:gridCol w:w="1800"/>
        <w:gridCol w:w="1710"/>
        <w:gridCol w:w="2700"/>
      </w:tblGrid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Enron Entity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Nature of Claim / Obligation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 of Enron Claim/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Debt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Nature of Set-off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Set-off Amount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due to / from  Enron entity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Notes/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Add'l Questions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Enron Canada Corp.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("ECC")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(the "Canadian Gas Agreement")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 1, 1999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Unpaid amounts due for deliveries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$25,897,863.37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Termination Pymts owed to PG&amp;E</w:t>
            </w:r>
          </w:p>
          <w:p>
            <w:pPr>
              <w:pStyle w:val="Normal"/>
              <w:widowControl/>
              <w:rPr/>
            </w:pPr>
            <w:r>
              <w:rPr>
                <w:sz w:val="16"/>
                <w:szCs w:val="16"/>
                <w:u w:val="single"/>
              </w:rPr>
              <w:t xml:space="preserve">($1,688,614.01)   </w:t>
            </w:r>
            <w:r>
              <w:rPr>
                <w:sz w:val="16"/>
                <w:szCs w:val="16"/>
              </w:rPr>
              <w:t xml:space="preserve"> =  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$24,209,249.36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EPMI has right to set-off natural gas purchase and sale agreements  of affiliates against amounts due on MPA.  See Section 5.4 of MPA.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$24,209,249.36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Against the $82,256,219.21 due from EPMI to PG&amp;E  pursuant to the MPA 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$24,209,249.36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 proof of claim w/ addendum re: setoff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Enron Energy Marketing Corp.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("EEMC")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negative CTC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$165.5 million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Recoupment Rights against future T&amp;D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$165.5 million 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against future T&amp;D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$165.5 million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 proof of claim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Enron Energy Services, Inc.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("EES")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negative CTC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$200.4 million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Recoupment Rights against future T&amp;D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$200.4 million against future T&amp;D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$200.4 million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 proof of claim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Enron North America Corp.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("ENA")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(Against PG&amp;E Core)</w:t>
            </w:r>
          </w:p>
          <w:p>
            <w:pPr>
              <w:pStyle w:val="Normal"/>
              <w:widowControl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ISDA Master Agreement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May 15, 2000 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Unpaid amounts due for deliveries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$5,822,999.98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Termination Payment</w:t>
            </w:r>
          </w:p>
          <w:p>
            <w:pPr>
              <w:pStyle w:val="Normal"/>
              <w:widowControl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$68,367,183.50    </w:t>
            </w:r>
            <w:r>
              <w:rPr>
                <w:sz w:val="16"/>
                <w:szCs w:val="16"/>
              </w:rPr>
              <w:t xml:space="preserve">    =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$74,190,183.48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$74,190,183.48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 proof of claim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Can't be setoff against MPA under Section 5.4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("US Gas Agreement")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Enfolio Firm General Terms and Conditions and Confirmation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 27, 2000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Unpaid amounts due for deliveries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$11,909,646.48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Termination Payment</w:t>
            </w:r>
          </w:p>
          <w:p>
            <w:pPr>
              <w:pStyle w:val="Normal"/>
              <w:widowControl/>
              <w:rPr/>
            </w:pPr>
            <w:r>
              <w:rPr>
                <w:sz w:val="16"/>
                <w:szCs w:val="16"/>
                <w:u w:val="single"/>
              </w:rPr>
              <w:t xml:space="preserve">$12,228,364.24    </w:t>
            </w:r>
            <w:r>
              <w:rPr>
                <w:sz w:val="16"/>
                <w:szCs w:val="16"/>
              </w:rPr>
              <w:t xml:space="preserve">  =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$24,138,010.72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EPMI has right to set-off natural gas purchase and sale agreements of affiliates against amounts due on MPA.  See Section 5.4 of MPA.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$24,138,010.72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Against the $82,256,219.21 due from EPMI to PG&amp;E  pursuant to the MPA 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$24,138,010.72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 proof of claim w/ addendum re: setoff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Enron Power Marketing, Inc. 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("EPMI")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CALPX/ ISO Pass-Thru Claims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excess of $30M pass-thru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their a claim for consequential damages arising out of  the loss of Letters of Credit?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EPMI has right to set-off natural gas purchase and sale agreements of affiliates against amounts due on MPA.  See Section 5.4 of MPA.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excess of $30,000,000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against the $82,256,219.21 due from EPMI to PG&amp;E  pursuant to the MPA 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excess of $30,000,000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 proof of claim w/ addendum re: setoff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be set-off under Section 5.4 of MPA; Does any other Enron entity have pass-thru claims?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EnronOnline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claims?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Enron Wind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claims?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Portland General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claims?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Transwestern Pipeline Company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Cs w:val="20"/>
              </w:rPr>
            </w:pPr>
            <w:r>
              <w:rPr>
                <w:sz w:val="16"/>
                <w:szCs w:val="16"/>
              </w:rPr>
              <w:t>Any claims?</w:t>
            </w:r>
          </w:p>
        </w:tc>
      </w:tr>
      <w:tr>
        <w:trPr/>
        <w:tc>
          <w:tcPr>
            <w:tcW w:w="14760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Cs w:val="20"/>
              </w:rPr>
            </w:pPr>
            <w:r>
              <w:rPr>
                <w:szCs w:val="20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OBLIGATIONS - SUMMARY OF SET-OFF EFFECT</w:t>
            </w:r>
          </w:p>
        </w:tc>
      </w:tr>
      <w:tr>
        <w:trPr/>
        <w:tc>
          <w:tcPr>
            <w:tcW w:w="1890" w:type="dxa"/>
            <w:vMerge w:val="restart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Enron Power Marketing, Inc. 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("EPMI")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Master Power Purchase and Sale Agreement (the "MPA")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October 9, 2000 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(OBLIGATION TO BE REDUCED BY SETOFFS)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Unpaid amounts due for deliveries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$3,856,600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Termination Pymts owed to PG&amp;E</w:t>
            </w:r>
          </w:p>
          <w:p>
            <w:pPr>
              <w:pStyle w:val="Normal"/>
              <w:widowControl/>
              <w:rPr/>
            </w:pPr>
            <w:r>
              <w:rPr>
                <w:sz w:val="16"/>
                <w:szCs w:val="16"/>
                <w:u w:val="single"/>
              </w:rPr>
              <w:t xml:space="preserve">($86,112,819.21)    </w:t>
            </w:r>
            <w:r>
              <w:rPr>
                <w:sz w:val="16"/>
                <w:szCs w:val="16"/>
              </w:rPr>
              <w:t xml:space="preserve">  =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($82,256,219.21)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PX/ISO Pass-thru claims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$154,613,672 available</w:t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After CGA and USGA set-offs, $33,908,959.13 of the $82,256,219.21 remains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rPr/>
            </w:pPr>
            <w:r>
              <w:rPr>
                <w:i/>
                <w:iCs/>
                <w:sz w:val="16"/>
                <w:szCs w:val="16"/>
              </w:rPr>
              <w:t>$33,908,959.13</w:t>
            </w:r>
            <w:r>
              <w:rPr>
                <w:sz w:val="16"/>
                <w:szCs w:val="16"/>
              </w:rPr>
              <w:t xml:space="preserve">    +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$24,209,249.36    +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$24,138,010.72    +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($82,256,219.21)</w:t>
            </w:r>
          </w:p>
          <w:p>
            <w:pPr>
              <w:pStyle w:val="Normal"/>
              <w:widowControl/>
              <w:rPr/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=</w:t>
            </w:r>
          </w:p>
          <w:p>
            <w:pPr>
              <w:pStyle w:val="Normal"/>
              <w:widowControl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</w:t>
            </w:r>
          </w:p>
          <w:p>
            <w:pPr>
              <w:pStyle w:val="Norma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$33,908,959.13 is the remainder of the $82,256,219.21 debt after the amounts of the CGA and USGA are applied as setoffs.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EPMI can setoff  "any amounts due and owing by the Defaulting Party to the Non-Defaulting Party under any other agreements" See MPA Artic.  5.6</w:t>
            </w:r>
          </w:p>
        </w:tc>
      </w:tr>
      <w:tr>
        <w:trPr/>
        <w:tc>
          <w:tcPr>
            <w:tcW w:w="1890" w:type="dxa"/>
            <w:vMerge w:val="continue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90" w:type="dxa"/>
            <w:vMerge w:val="continue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30" w:type="dxa"/>
            <w:vMerge w:val="continue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Canadian Gas Agreement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$24,209,249.36</w:t>
            </w:r>
          </w:p>
        </w:tc>
        <w:tc>
          <w:tcPr>
            <w:tcW w:w="1710" w:type="dxa"/>
            <w:vMerge w:val="continue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EPMI can setoff  "any natural gas purchase and sale agreements between EPMI's affiliates and PG&amp;E pursuant to Article 5.6 of MPA </w:t>
            </w:r>
          </w:p>
        </w:tc>
      </w:tr>
      <w:tr>
        <w:trPr/>
        <w:tc>
          <w:tcPr>
            <w:tcW w:w="1890" w:type="dxa"/>
            <w:vMerge w:val="continue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90" w:type="dxa"/>
            <w:vMerge w:val="continue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30" w:type="dxa"/>
            <w:vMerge w:val="continue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Gas Agreement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$24,138,010.72</w:t>
            </w:r>
          </w:p>
        </w:tc>
        <w:tc>
          <w:tcPr>
            <w:tcW w:w="1710" w:type="dxa"/>
            <w:vMerge w:val="continue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/>
              <w:spacing w:before="0"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EPMI can setoff  "any natural gas purchase and sale agreements between EPMI's affiliates and PG&amp;E pursuant to Article 5.6 of MPA </w:t>
            </w:r>
          </w:p>
        </w:tc>
      </w:tr>
    </w:tbl>
    <w:p>
      <w:pPr>
        <w:pStyle w:val="Normal"/>
        <w:widowControl/>
        <w:rPr>
          <w:rFonts w:ascii="Courier" w:hAnsi="Courier" w:cs="Courier"/>
          <w:sz w:val="24"/>
        </w:rPr>
      </w:pPr>
      <w:r>
        <w:rPr>
          <w:rFonts w:cs="Courier" w:ascii="Courier" w:hAnsi="Courier"/>
          <w:sz w:val="24"/>
        </w:rPr>
      </w:r>
    </w:p>
    <w:sectPr>
      <w:footerReference w:type="default" r:id="rId2"/>
      <w:type w:val="nextPage"/>
      <w:pgSz w:orient="landscape" w:w="15840" w:h="12240"/>
      <w:pgMar w:left="360" w:right="360" w:gutter="0" w:header="0" w:top="360" w:footer="240" w:bottom="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ind w:start="1080" w:end="1080"/>
      <w:rPr>
        <w:rFonts w:ascii="Courier" w:hAnsi="Courier" w:cs="Courier"/>
        <w:sz w:val="14"/>
        <w:szCs w:val="14"/>
      </w:rPr>
    </w:pPr>
    <w:r>
      <w:rPr>
        <w:rFonts w:cs="Courier" w:ascii="Courier" w:hAnsi="Courier"/>
        <w:sz w:val="14"/>
        <w:szCs w:val="14"/>
      </w:rPr>
      <w:t>SF 159040.6  02618 00125</w:t>
    </w:r>
  </w:p>
  <w:p>
    <w:pPr>
      <w:pStyle w:val="Normal"/>
      <w:ind w:start="1080" w:end="1080"/>
      <w:rPr/>
    </w:pPr>
    <w:r>
      <w:rPr>
        <w:rFonts w:cs="Courier" w:ascii="Courier" w:hAnsi="Courier"/>
        <w:sz w:val="14"/>
        <w:szCs w:val="14"/>
      </w:rPr>
      <w:fldChar w:fldCharType="begin"/>
    </w:r>
    <w:r>
      <w:rPr>
        <w:sz w:val="14"/>
        <w:szCs w:val="14"/>
        <w:rFonts w:cs="Courier" w:ascii="Courier" w:hAnsi="Courier"/>
      </w:rPr>
      <w:instrText xml:space="preserve"> DATE \@"M\/d\/yy" </w:instrText>
    </w:r>
    <w:r>
      <w:rPr>
        <w:sz w:val="14"/>
        <w:szCs w:val="14"/>
        <w:rFonts w:cs="Courier" w:ascii="Courier" w:hAnsi="Courier"/>
      </w:rPr>
      <w:fldChar w:fldCharType="separate"/>
    </w:r>
    <w:r>
      <w:rPr>
        <w:sz w:val="14"/>
        <w:szCs w:val="14"/>
        <w:rFonts w:cs="Courier" w:ascii="Courier" w:hAnsi="Courier"/>
      </w:rPr>
      <w:t>9/28/25</w:t>
    </w:r>
    <w:r>
      <w:rPr>
        <w:sz w:val="14"/>
        <w:szCs w:val="14"/>
        <w:rFonts w:cs="Courier" w:ascii="Courier" w:hAnsi="Courier"/>
      </w:rPr>
      <w:fldChar w:fldCharType="end"/>
    </w:r>
    <w:r>
      <w:rPr>
        <w:rFonts w:eastAsia="Courier" w:cs="Courier" w:ascii="Courier" w:hAnsi="Courier"/>
        <w:sz w:val="14"/>
        <w:szCs w:val="14"/>
      </w:rPr>
      <w:t xml:space="preserve"> </w:t>
    </w:r>
    <w:r>
      <w:rPr>
        <w:rFonts w:cs="Courier" w:ascii="Courier" w:hAnsi="Courier"/>
        <w:sz w:val="14"/>
        <w:szCs w:val="14"/>
      </w:rPr>
      <w:fldChar w:fldCharType="begin"/>
    </w:r>
    <w:r>
      <w:rPr>
        <w:sz w:val="14"/>
        <w:szCs w:val="14"/>
        <w:rFonts w:cs="Courier" w:ascii="Courier" w:hAnsi="Courier"/>
      </w:rPr>
      <w:instrText xml:space="preserve"> TIME \@"H:mm\ AM/PM" </w:instrText>
    </w:r>
    <w:r>
      <w:rPr>
        <w:sz w:val="14"/>
        <w:szCs w:val="14"/>
        <w:rFonts w:cs="Courier" w:ascii="Courier" w:hAnsi="Courier"/>
      </w:rPr>
      <w:fldChar w:fldCharType="separate"/>
    </w:r>
    <w:r>
      <w:rPr>
        <w:sz w:val="14"/>
        <w:szCs w:val="14"/>
        <w:rFonts w:cs="Courier" w:ascii="Courier" w:hAnsi="Courier"/>
      </w:rPr>
      <w:t>8:35 AM</w:t>
    </w:r>
    <w:r>
      <w:rPr>
        <w:sz w:val="14"/>
        <w:szCs w:val="14"/>
        <w:rFonts w:cs="Courier" w:ascii="Courier" w:hAnsi="Courier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2001-08-28T18:56:00Z</dcterms:created>
  <dc:creator>mtribole</dc:creator>
  <dc:description/>
  <dc:language>en-CA</dc:language>
  <cp:lastModifiedBy>mtribole</cp:lastModifiedBy>
  <cp:lastPrinted>2001-08-28T16:25:00Z</cp:lastPrinted>
  <dcterms:modified xsi:type="dcterms:W3CDTF">2001-08-28T18:56:00Z</dcterms:modified>
  <cp:revision>2</cp:revision>
  <dc:subject/>
  <dc:title>Enron Entity</dc:title>
</cp:coreProperties>
</file>