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numPr>
          <w:ilvl w:val="0"/>
          <w:numId w:val="0"/>
        </w:numPr>
        <w:outlineLvl w:val="0"/>
        <w:rPr>
          <w:sz w:val="16"/>
        </w:rPr>
      </w:pPr>
      <w:r>
        <w:rPr>
          <w:rFonts w:eastAsia="CG Times"/>
          <w:sz w:val="16"/>
        </w:rPr>
        <w:t xml:space="preserve">          </w:t>
      </w:r>
      <w:r>
        <w:rPr>
          <w:sz w:val="16"/>
        </w:rPr>
        <w:t>Philip N. Bair</w:t>
      </w:r>
    </w:p>
    <w:p>
      <w:pPr>
        <w:pStyle w:val="Normal"/>
        <w:widowControl/>
        <w:rPr>
          <w:sz w:val="16"/>
        </w:rPr>
      </w:pPr>
      <w:r>
        <w:rPr>
          <w:rFonts w:eastAsia="CG Times"/>
          <w:sz w:val="16"/>
        </w:rPr>
        <w:t xml:space="preserve">               </w:t>
      </w:r>
      <w:r>
        <w:rPr>
          <w:sz w:val="16"/>
        </w:rPr>
        <w:t>Partner</w:t>
      </w:r>
    </w:p>
    <w:p>
      <w:pPr>
        <w:pStyle w:val="Normal"/>
        <w:widowControl/>
        <w:numPr>
          <w:ilvl w:val="0"/>
          <w:numId w:val="0"/>
        </w:numPr>
        <w:outlineLvl w:val="0"/>
        <w:rPr>
          <w:sz w:val="16"/>
        </w:rPr>
      </w:pPr>
      <w:r>
        <w:rPr>
          <w:rFonts w:eastAsia="CG Times"/>
          <w:sz w:val="16"/>
        </w:rPr>
        <w:t xml:space="preserve">    </w:t>
      </w:r>
      <w:r>
        <w:rPr>
          <w:sz w:val="16"/>
        </w:rPr>
        <w:t>Telefax: (713) 520-1260</w:t>
      </w:r>
    </w:p>
    <w:p>
      <w:pPr>
        <w:pStyle w:val="Normal"/>
        <w:widowControl/>
        <w:rPr>
          <w:sz w:val="16"/>
        </w:rPr>
      </w:pPr>
      <w:r>
        <w:rPr>
          <w:sz w:val="16"/>
        </w:rPr>
        <w:t>E-mail:pbair@jwortham.com</w:t>
        <w:tab/>
      </w:r>
    </w:p>
    <w:p>
      <w:pPr>
        <w:pStyle w:val="Normal"/>
        <w:widowControl/>
        <w:tabs>
          <w:tab w:val="clear" w:pos="720"/>
          <w:tab w:val="left" w:pos="1296" w:leader="none"/>
          <w:tab w:val="left" w:pos="5040" w:leader="none"/>
        </w:tabs>
        <w:ind w:start="720" w:end="0"/>
        <w:rPr>
          <w:sz w:val="16"/>
        </w:rPr>
      </w:pPr>
      <w:r>
        <w:rPr>
          <w:sz w:val="16"/>
        </w:rPr>
      </w:r>
    </w:p>
    <w:p>
      <w:pPr>
        <w:pStyle w:val="Normal"/>
        <w:widowControl/>
        <w:tabs>
          <w:tab w:val="clear" w:pos="720"/>
          <w:tab w:val="left" w:pos="1296" w:leader="none"/>
          <w:tab w:val="left" w:pos="5040" w:leader="none"/>
        </w:tabs>
        <w:ind w:start="720" w:end="0"/>
        <w:rPr>
          <w:sz w:val="16"/>
        </w:rPr>
      </w:pPr>
      <w:r>
        <w:rPr>
          <w:sz w:val="16"/>
        </w:rPr>
      </w:r>
    </w:p>
    <w:p>
      <w:pPr>
        <w:pStyle w:val="Normal"/>
        <w:widowControl/>
        <w:tabs>
          <w:tab w:val="clear" w:pos="720"/>
          <w:tab w:val="left" w:pos="1296" w:leader="none"/>
          <w:tab w:val="left" w:pos="5040" w:leader="none"/>
        </w:tabs>
        <w:ind w:firstLine="4320" w:start="720" w:end="0"/>
        <w:rPr/>
      </w:pPr>
      <w:r>
        <w:rPr/>
        <w:fldChar w:fldCharType="begin"/>
      </w:r>
      <w:r>
        <w:rPr/>
        <w:instrText xml:space="preserve"> DATE \@"MMMM\ d', 'yyyy" </w:instrText>
      </w:r>
      <w:r>
        <w:rPr/>
        <w:fldChar w:fldCharType="separate"/>
      </w:r>
      <w:r>
        <w:rPr/>
        <w:t>September 28, 2025</w:t>
      </w:r>
      <w:r>
        <w:rPr/>
        <w:fldChar w:fldCharType="end"/>
      </w:r>
      <w:r>
        <w:rPr>
          <w:rFonts w:eastAsia="CG Times"/>
        </w:rPr>
        <w:t xml:space="preserve">                  </w:t>
      </w:r>
      <w:r>
        <w:rPr>
          <w:b/>
        </w:rPr>
        <w:t>DRAFT 2/21p</w:t>
      </w:r>
    </w:p>
    <w:p>
      <w:pPr>
        <w:pStyle w:val="Normal"/>
        <w:widowControl/>
        <w:tabs>
          <w:tab w:val="clear" w:pos="720"/>
          <w:tab w:val="left" w:pos="1296" w:leader="none"/>
          <w:tab w:val="left" w:pos="5040" w:leader="none"/>
        </w:tabs>
        <w:ind w:start="720" w:end="0"/>
        <w:rPr>
          <w:b/>
        </w:rPr>
      </w:pPr>
      <w:r>
        <w:rPr>
          <w:b/>
        </w:rPr>
      </w:r>
    </w:p>
    <w:p>
      <w:pPr>
        <w:pStyle w:val="Normal"/>
        <w:widowControl/>
        <w:tabs>
          <w:tab w:val="clear" w:pos="720"/>
          <w:tab w:val="left" w:pos="1296" w:leader="none"/>
          <w:tab w:val="left" w:pos="5040" w:leader="none"/>
        </w:tabs>
        <w:ind w:start="720" w:end="0"/>
        <w:rPr/>
      </w:pPr>
      <w:r>
        <w:rPr/>
      </w:r>
    </w:p>
    <w:p>
      <w:pPr>
        <w:pStyle w:val="Normal"/>
        <w:widowControl/>
        <w:tabs>
          <w:tab w:val="clear" w:pos="720"/>
          <w:tab w:val="left" w:pos="1296" w:leader="none"/>
          <w:tab w:val="left" w:pos="5040" w:leader="none"/>
        </w:tabs>
        <w:ind w:start="720" w:end="0"/>
        <w:rPr/>
      </w:pPr>
      <w:r>
        <w:rPr/>
      </w:r>
    </w:p>
    <w:p>
      <w:pPr>
        <w:pStyle w:val="Normal"/>
        <w:widowControl/>
        <w:tabs>
          <w:tab w:val="clear" w:pos="720"/>
          <w:tab w:val="left" w:pos="1296" w:leader="none"/>
          <w:tab w:val="left" w:pos="5040" w:leader="none"/>
        </w:tabs>
        <w:ind w:start="720" w:end="0"/>
        <w:rPr/>
      </w:pPr>
      <w:r>
        <w:rPr/>
        <w:t>Mr. Gerald L. Ballinger, President</w:t>
      </w:r>
    </w:p>
    <w:p>
      <w:pPr>
        <w:pStyle w:val="Normal"/>
        <w:widowControl/>
        <w:tabs>
          <w:tab w:val="clear" w:pos="720"/>
          <w:tab w:val="left" w:pos="1296" w:leader="none"/>
          <w:tab w:val="left" w:pos="5040" w:leader="none"/>
        </w:tabs>
        <w:ind w:start="720" w:end="0"/>
        <w:rPr/>
      </w:pPr>
      <w:r>
        <w:rPr/>
        <w:t>Public Energy Authority of Kentucky</w:t>
      </w:r>
    </w:p>
    <w:p>
      <w:pPr>
        <w:pStyle w:val="Normal"/>
        <w:widowControl/>
        <w:tabs>
          <w:tab w:val="clear" w:pos="720"/>
          <w:tab w:val="left" w:pos="1296" w:leader="none"/>
          <w:tab w:val="left" w:pos="5040" w:leader="none"/>
        </w:tabs>
        <w:ind w:start="720" w:end="0"/>
        <w:rPr/>
      </w:pPr>
      <w:r>
        <w:rPr/>
        <w:t>516 Highland Avenue</w:t>
      </w:r>
    </w:p>
    <w:p>
      <w:pPr>
        <w:pStyle w:val="Normal"/>
        <w:widowControl/>
        <w:tabs>
          <w:tab w:val="clear" w:pos="720"/>
          <w:tab w:val="left" w:pos="1296" w:leader="none"/>
          <w:tab w:val="left" w:pos="5040" w:leader="none"/>
        </w:tabs>
        <w:ind w:start="720" w:end="0"/>
        <w:rPr/>
      </w:pPr>
      <w:r>
        <w:rPr/>
        <w:t>Carrollton, Kentucky 41008</w:t>
      </w:r>
    </w:p>
    <w:p>
      <w:pPr>
        <w:pStyle w:val="Normal"/>
        <w:widowControl/>
        <w:tabs>
          <w:tab w:val="clear" w:pos="720"/>
          <w:tab w:val="left" w:pos="1296" w:leader="none"/>
          <w:tab w:val="left" w:pos="5040" w:leader="none"/>
        </w:tabs>
        <w:ind w:firstLine="576" w:start="720" w:end="0"/>
        <w:rPr/>
      </w:pPr>
      <w:r>
        <w:rPr/>
      </w:r>
    </w:p>
    <w:p>
      <w:pPr>
        <w:pStyle w:val="Normal"/>
        <w:widowControl/>
        <w:tabs>
          <w:tab w:val="clear" w:pos="720"/>
          <w:tab w:val="left" w:pos="1296" w:leader="none"/>
          <w:tab w:val="left" w:pos="5040" w:leader="none"/>
        </w:tabs>
        <w:ind w:firstLine="4320" w:start="720" w:end="0"/>
        <w:rPr/>
      </w:pPr>
      <w:r>
        <w:rPr/>
        <w:t>Supplier:  Enron North America Corp.</w:t>
      </w:r>
    </w:p>
    <w:p>
      <w:pPr>
        <w:pStyle w:val="BodyTextIndent"/>
        <w:rPr/>
      </w:pPr>
      <w:r>
        <w:rPr/>
        <w:t>Project:    PEAK Natural Gas Purchase and               Sale Agreement</w:t>
      </w:r>
    </w:p>
    <w:p>
      <w:pPr>
        <w:pStyle w:val="Normal"/>
        <w:widowControl/>
        <w:tabs>
          <w:tab w:val="clear" w:pos="720"/>
          <w:tab w:val="left" w:pos="1296" w:leader="none"/>
          <w:tab w:val="left" w:pos="5040" w:leader="none"/>
        </w:tabs>
        <w:ind w:start="720" w:end="0"/>
        <w:rPr/>
      </w:pPr>
      <w:r>
        <w:rPr/>
        <w:tab/>
        <w:tab/>
        <w:t xml:space="preserve">               Advance Payment Surety Bond</w:t>
      </w:r>
    </w:p>
    <w:p>
      <w:pPr>
        <w:pStyle w:val="Normal"/>
        <w:widowControl/>
        <w:tabs>
          <w:tab w:val="clear" w:pos="720"/>
          <w:tab w:val="left" w:pos="1296" w:leader="none"/>
          <w:tab w:val="left" w:pos="5040" w:leader="none"/>
        </w:tabs>
        <w:ind w:start="720" w:end="0"/>
        <w:rPr/>
      </w:pPr>
      <w:r>
        <w:rPr/>
        <w:tab/>
      </w:r>
    </w:p>
    <w:p>
      <w:pPr>
        <w:pStyle w:val="Normal"/>
        <w:widowControl/>
        <w:tabs>
          <w:tab w:val="clear" w:pos="720"/>
          <w:tab w:val="left" w:pos="1296" w:leader="none"/>
          <w:tab w:val="left" w:pos="5040" w:leader="none"/>
        </w:tabs>
        <w:ind w:start="720" w:end="0"/>
        <w:rPr/>
      </w:pPr>
      <w:r>
        <w:rPr/>
        <w:t>Dear Mr. Ballinger:</w:t>
      </w:r>
    </w:p>
    <w:p>
      <w:pPr>
        <w:pStyle w:val="Normal"/>
        <w:widowControl/>
        <w:tabs>
          <w:tab w:val="clear" w:pos="720"/>
          <w:tab w:val="left" w:pos="1296" w:leader="none"/>
          <w:tab w:val="left" w:pos="5040" w:leader="none"/>
        </w:tabs>
        <w:ind w:start="720" w:end="0"/>
        <w:rPr/>
      </w:pPr>
      <w:r>
        <w:rPr/>
      </w:r>
    </w:p>
    <w:p>
      <w:pPr>
        <w:pStyle w:val="Normal"/>
        <w:widowControl/>
        <w:tabs>
          <w:tab w:val="clear" w:pos="720"/>
          <w:tab w:val="left" w:pos="1296" w:leader="none"/>
          <w:tab w:val="left" w:pos="5040" w:leader="none"/>
        </w:tabs>
        <w:ind w:start="720" w:end="0"/>
        <w:rPr/>
      </w:pPr>
      <w:r>
        <w:rPr/>
        <w:t>We understand our valued principal, Enron North America Corp. (“Enron”), is submitting a proposal to you for the long term supply of natural gas.  Under the Natural Gas Purchase and Sale Agreement, PEAK will make a one time advance payment to Enron in an amount representing the value of the Agreement.  A surety bond will be required to secure the unamortized value during the life of the Agreement.  In that regard, you have requested a letter of reference concerning the surety facility established for Enron.</w:t>
      </w:r>
    </w:p>
    <w:p>
      <w:pPr>
        <w:pStyle w:val="Normal"/>
        <w:widowControl/>
        <w:tabs>
          <w:tab w:val="clear" w:pos="720"/>
          <w:tab w:val="left" w:pos="1296" w:leader="none"/>
          <w:tab w:val="left" w:pos="5040" w:leader="none"/>
        </w:tabs>
        <w:ind w:start="720" w:end="0"/>
        <w:rPr/>
      </w:pPr>
      <w:r>
        <w:rPr/>
      </w:r>
    </w:p>
    <w:p>
      <w:pPr>
        <w:pStyle w:val="Normal"/>
        <w:widowControl/>
        <w:tabs>
          <w:tab w:val="clear" w:pos="720"/>
          <w:tab w:val="left" w:pos="1296" w:leader="none"/>
          <w:tab w:val="left" w:pos="5040" w:leader="none"/>
        </w:tabs>
        <w:ind w:start="720" w:end="0"/>
        <w:rPr/>
      </w:pPr>
      <w:r>
        <w:rPr/>
        <w:t>Presently Enron has established primary lines of credit with the following sureties:</w:t>
      </w:r>
    </w:p>
    <w:p>
      <w:pPr>
        <w:pStyle w:val="Normal"/>
        <w:widowControl/>
        <w:tabs>
          <w:tab w:val="clear" w:pos="720"/>
          <w:tab w:val="left" w:pos="1296" w:leader="none"/>
          <w:tab w:val="left" w:pos="5040" w:leader="none"/>
        </w:tabs>
        <w:ind w:start="720" w:end="0"/>
        <w:rPr/>
      </w:pPr>
      <w:r>
        <w:rPr/>
      </w:r>
    </w:p>
    <w:p>
      <w:pPr>
        <w:pStyle w:val="Normal"/>
        <w:widowControl/>
        <w:numPr>
          <w:ilvl w:val="0"/>
          <w:numId w:val="0"/>
        </w:numPr>
        <w:tabs>
          <w:tab w:val="clear" w:pos="720"/>
          <w:tab w:val="left" w:pos="1296" w:leader="none"/>
          <w:tab w:val="left" w:pos="5040" w:leader="none"/>
        </w:tabs>
        <w:ind w:start="720" w:end="0"/>
        <w:outlineLvl w:val="0"/>
        <w:rPr/>
      </w:pPr>
      <w:r>
        <w:rPr/>
        <w:tab/>
        <w:t>American Home Assurance Company</w:t>
      </w:r>
    </w:p>
    <w:p>
      <w:pPr>
        <w:pStyle w:val="Normal"/>
        <w:widowControl/>
        <w:tabs>
          <w:tab w:val="clear" w:pos="720"/>
          <w:tab w:val="left" w:pos="1296" w:leader="none"/>
          <w:tab w:val="left" w:pos="5040" w:leader="none"/>
        </w:tabs>
        <w:ind w:start="720" w:end="0"/>
        <w:rPr/>
      </w:pPr>
      <w:r>
        <w:rPr/>
        <w:tab/>
        <w:t>Federal Insurance Company</w:t>
      </w:r>
    </w:p>
    <w:p>
      <w:pPr>
        <w:pStyle w:val="Normal"/>
        <w:widowControl/>
        <w:tabs>
          <w:tab w:val="clear" w:pos="720"/>
          <w:tab w:val="left" w:pos="1296" w:leader="none"/>
          <w:tab w:val="left" w:pos="5040" w:leader="none"/>
        </w:tabs>
        <w:ind w:start="720" w:end="0"/>
        <w:rPr/>
      </w:pPr>
      <w:r>
        <w:rPr/>
        <w:tab/>
        <w:t>Fireman’s Fund Insurance Company</w:t>
      </w:r>
    </w:p>
    <w:p>
      <w:pPr>
        <w:pStyle w:val="Normal"/>
        <w:widowControl/>
        <w:tabs>
          <w:tab w:val="clear" w:pos="720"/>
          <w:tab w:val="left" w:pos="1296" w:leader="none"/>
          <w:tab w:val="left" w:pos="5040" w:leader="none"/>
        </w:tabs>
        <w:ind w:start="720" w:end="0"/>
        <w:rPr/>
      </w:pPr>
      <w:r>
        <w:rPr/>
        <w:tab/>
        <w:t>Hartford Fire Insurance Company</w:t>
      </w:r>
    </w:p>
    <w:p>
      <w:pPr>
        <w:pStyle w:val="Normal"/>
        <w:widowControl/>
        <w:tabs>
          <w:tab w:val="clear" w:pos="720"/>
          <w:tab w:val="left" w:pos="1296" w:leader="none"/>
          <w:tab w:val="left" w:pos="5040" w:leader="none"/>
        </w:tabs>
        <w:ind w:start="720" w:end="0"/>
        <w:rPr/>
      </w:pPr>
      <w:r>
        <w:rPr/>
        <w:tab/>
        <w:t>Liberty Mutual Insurance Company</w:t>
      </w:r>
    </w:p>
    <w:p>
      <w:pPr>
        <w:pStyle w:val="Normal"/>
        <w:widowControl/>
        <w:tabs>
          <w:tab w:val="clear" w:pos="720"/>
          <w:tab w:val="left" w:pos="1296" w:leader="none"/>
          <w:tab w:val="left" w:pos="5040" w:leader="none"/>
        </w:tabs>
        <w:ind w:start="720" w:end="0"/>
        <w:rPr/>
      </w:pPr>
      <w:r>
        <w:rPr/>
        <w:tab/>
        <w:t>Lumbermens Mutual Casualty Company</w:t>
      </w:r>
    </w:p>
    <w:p>
      <w:pPr>
        <w:pStyle w:val="Normal"/>
        <w:widowControl/>
        <w:tabs>
          <w:tab w:val="clear" w:pos="720"/>
          <w:tab w:val="left" w:pos="1296" w:leader="none"/>
          <w:tab w:val="left" w:pos="5040" w:leader="none"/>
        </w:tabs>
        <w:ind w:start="720" w:end="0"/>
        <w:rPr/>
      </w:pPr>
      <w:r>
        <w:rPr/>
        <w:tab/>
        <w:t>Safeco Insurance Company of America</w:t>
      </w:r>
    </w:p>
    <w:p>
      <w:pPr>
        <w:pStyle w:val="Normal"/>
        <w:widowControl/>
        <w:tabs>
          <w:tab w:val="clear" w:pos="720"/>
          <w:tab w:val="left" w:pos="1296" w:leader="none"/>
          <w:tab w:val="left" w:pos="5040" w:leader="none"/>
        </w:tabs>
        <w:ind w:start="720" w:end="0"/>
        <w:rPr/>
      </w:pPr>
      <w:r>
        <w:rPr/>
        <w:tab/>
        <w:t>St. Paul Fire and Marine Insurance Company</w:t>
      </w:r>
    </w:p>
    <w:p>
      <w:pPr>
        <w:pStyle w:val="Normal"/>
        <w:widowControl/>
        <w:tabs>
          <w:tab w:val="clear" w:pos="720"/>
          <w:tab w:val="left" w:pos="1296" w:leader="none"/>
          <w:tab w:val="left" w:pos="5040" w:leader="none"/>
        </w:tabs>
        <w:ind w:start="720" w:end="0"/>
        <w:rPr/>
      </w:pPr>
      <w:r>
        <w:rPr/>
        <w:tab/>
        <w:t>Travelers Indemnity Company</w:t>
      </w:r>
    </w:p>
    <w:p>
      <w:pPr>
        <w:pStyle w:val="Normal"/>
        <w:widowControl/>
        <w:tabs>
          <w:tab w:val="clear" w:pos="720"/>
          <w:tab w:val="left" w:pos="1296" w:leader="none"/>
          <w:tab w:val="left" w:pos="5040" w:leader="none"/>
        </w:tabs>
        <w:ind w:start="720" w:end="0"/>
        <w:rPr/>
      </w:pPr>
      <w:r>
        <w:rPr/>
      </w:r>
    </w:p>
    <w:p>
      <w:pPr>
        <w:pStyle w:val="Normal"/>
        <w:widowControl/>
        <w:tabs>
          <w:tab w:val="clear" w:pos="720"/>
          <w:tab w:val="left" w:pos="1296" w:leader="none"/>
          <w:tab w:val="left" w:pos="5040" w:leader="none"/>
        </w:tabs>
        <w:ind w:start="720" w:end="0"/>
        <w:rPr/>
      </w:pPr>
      <w:r>
        <w:rPr/>
        <w:t>The combined aggregate value of these surety lines of credit exceeds $3.5 billion.  Available bonding capacity exceeds $1.8 billion.  Over the past three years we have bonded similar advance payment natural gas supply contracts in the total amount of $2.5 billion.  Individual bonded values have exceeded $600 million.</w:t>
      </w:r>
    </w:p>
    <w:p>
      <w:pPr>
        <w:pStyle w:val="Normal"/>
        <w:widowControl/>
        <w:tabs>
          <w:tab w:val="clear" w:pos="720"/>
          <w:tab w:val="left" w:pos="1296" w:leader="none"/>
          <w:tab w:val="left" w:pos="5040" w:leader="none"/>
        </w:tabs>
        <w:ind w:start="720" w:end="0"/>
        <w:rPr/>
      </w:pPr>
      <w:r>
        <w:rPr/>
        <w:t>Mr. Gerald Ballinger</w:t>
      </w:r>
    </w:p>
    <w:p>
      <w:pPr>
        <w:pStyle w:val="Normal"/>
        <w:widowControl/>
        <w:tabs>
          <w:tab w:val="clear" w:pos="720"/>
          <w:tab w:val="left" w:pos="1296" w:leader="none"/>
          <w:tab w:val="left" w:pos="5040" w:leader="none"/>
        </w:tabs>
        <w:ind w:start="720" w:end="0"/>
        <w:rPr/>
      </w:pPr>
      <w:r>
        <w:rPr/>
        <w:t xml:space="preserve">Page 2 </w:t>
      </w:r>
    </w:p>
    <w:p>
      <w:pPr>
        <w:pStyle w:val="Normal"/>
        <w:widowControl/>
        <w:tabs>
          <w:tab w:val="clear" w:pos="720"/>
          <w:tab w:val="left" w:pos="1296" w:leader="none"/>
          <w:tab w:val="left" w:pos="5040" w:leader="none"/>
        </w:tabs>
        <w:ind w:start="720" w:end="0"/>
        <w:rPr/>
      </w:pPr>
      <w:r>
        <w:rPr/>
        <w:t>February 21, 2001</w:t>
      </w:r>
    </w:p>
    <w:p>
      <w:pPr>
        <w:pStyle w:val="Normal"/>
        <w:widowControl/>
        <w:tabs>
          <w:tab w:val="clear" w:pos="720"/>
          <w:tab w:val="left" w:pos="1296" w:leader="none"/>
          <w:tab w:val="left" w:pos="5040" w:leader="none"/>
        </w:tabs>
        <w:ind w:start="720" w:end="0"/>
        <w:rPr/>
      </w:pPr>
      <w:r>
        <w:rPr/>
      </w:r>
    </w:p>
    <w:p>
      <w:pPr>
        <w:pStyle w:val="Normal"/>
        <w:widowControl/>
        <w:tabs>
          <w:tab w:val="clear" w:pos="720"/>
          <w:tab w:val="left" w:pos="1296" w:leader="none"/>
          <w:tab w:val="left" w:pos="5040" w:leader="none"/>
        </w:tabs>
        <w:ind w:start="720" w:end="0"/>
        <w:rPr/>
      </w:pPr>
      <w:r>
        <w:rPr/>
      </w:r>
    </w:p>
    <w:p>
      <w:pPr>
        <w:pStyle w:val="Normal"/>
        <w:widowControl/>
        <w:tabs>
          <w:tab w:val="clear" w:pos="720"/>
          <w:tab w:val="left" w:pos="1296" w:leader="none"/>
          <w:tab w:val="left" w:pos="5040" w:leader="none"/>
        </w:tabs>
        <w:ind w:start="720" w:end="0"/>
        <w:rPr/>
      </w:pPr>
      <w:r>
        <w:rPr/>
        <w:t>It is our understanding the initial value of the bond on this transaction will be approximately $400 million. This is to confirm we are prepared to provide a bond in this amount should Enron’s proposal be accepted.  This is subject to the review and approval by the surety of the final Agreement, bond form and other related documents, as well as limiting the tenure of the obligation as noted below.</w:t>
      </w:r>
    </w:p>
    <w:p>
      <w:pPr>
        <w:pStyle w:val="Normal"/>
        <w:widowControl/>
        <w:tabs>
          <w:tab w:val="clear" w:pos="720"/>
          <w:tab w:val="left" w:pos="1296" w:leader="none"/>
          <w:tab w:val="left" w:pos="5040" w:leader="none"/>
        </w:tabs>
        <w:ind w:start="720" w:end="0"/>
        <w:rPr/>
      </w:pPr>
      <w:r>
        <w:rPr/>
      </w:r>
    </w:p>
    <w:p>
      <w:pPr>
        <w:pStyle w:val="Normal"/>
        <w:widowControl/>
        <w:tabs>
          <w:tab w:val="clear" w:pos="720"/>
          <w:tab w:val="left" w:pos="1296" w:leader="none"/>
          <w:tab w:val="left" w:pos="5040" w:leader="none"/>
        </w:tabs>
        <w:ind w:start="720" w:end="0"/>
        <w:rPr/>
      </w:pPr>
      <w:r>
        <w:rPr/>
        <w:t>A surety bond of this scope and value with a fixed term of 10 years is not commercially available.  We propose providing a bond with an initial term of five years, containing a unilateral option by the surety to extend the bond for an additional term not to exceed five years.  Further, the Agreement must contain a condition allowing for alternative security as outlined under Item 7 of your Term Sheet and Request for Proposal.  In addition, the Agreement must be conditioned to provide that non-renewal of the bond by the surety at the end of the initial five year term will not constitute a default by Enron under the Agreement, or a demand under the bond, if the principal is otherwise meeting all other contractual obligations.</w:t>
      </w:r>
    </w:p>
    <w:p>
      <w:pPr>
        <w:pStyle w:val="Normal"/>
        <w:widowControl/>
        <w:tabs>
          <w:tab w:val="clear" w:pos="720"/>
          <w:tab w:val="left" w:pos="1296" w:leader="none"/>
          <w:tab w:val="left" w:pos="5040" w:leader="none"/>
        </w:tabs>
        <w:ind w:start="720" w:end="0"/>
        <w:rPr/>
      </w:pPr>
      <w:r>
        <w:rPr/>
      </w:r>
    </w:p>
    <w:p>
      <w:pPr>
        <w:pStyle w:val="Normal"/>
        <w:widowControl/>
        <w:tabs>
          <w:tab w:val="clear" w:pos="720"/>
          <w:tab w:val="left" w:pos="1296" w:leader="none"/>
          <w:tab w:val="left" w:pos="5040" w:leader="none"/>
        </w:tabs>
        <w:ind w:start="720" w:end="0"/>
        <w:rPr/>
      </w:pPr>
      <w:r>
        <w:rPr/>
        <w:t xml:space="preserve">We are pleased to have the opportunity to furnish this information to you.  Should you require anything in addition, please do not hesitate to let us know.  </w:t>
      </w:r>
    </w:p>
    <w:p>
      <w:pPr>
        <w:pStyle w:val="Normal"/>
        <w:widowControl/>
        <w:tabs>
          <w:tab w:val="clear" w:pos="720"/>
          <w:tab w:val="left" w:pos="1296" w:leader="none"/>
          <w:tab w:val="left" w:pos="5040" w:leader="none"/>
        </w:tabs>
        <w:ind w:start="720" w:end="0"/>
        <w:rPr/>
      </w:pPr>
      <w:r>
        <w:rPr/>
      </w:r>
    </w:p>
    <w:p>
      <w:pPr>
        <w:pStyle w:val="Normal"/>
        <w:widowControl/>
        <w:tabs>
          <w:tab w:val="clear" w:pos="720"/>
          <w:tab w:val="left" w:pos="1296" w:leader="none"/>
          <w:tab w:val="left" w:pos="5040" w:leader="none"/>
        </w:tabs>
        <w:ind w:firstLine="4320" w:start="720" w:end="0"/>
        <w:rPr/>
      </w:pPr>
      <w:r>
        <w:rPr/>
        <w:t>Sincerely yours,</w:t>
      </w:r>
    </w:p>
    <w:p>
      <w:pPr>
        <w:pStyle w:val="Normal"/>
        <w:widowControl/>
        <w:tabs>
          <w:tab w:val="clear" w:pos="720"/>
          <w:tab w:val="left" w:pos="1296" w:leader="none"/>
          <w:tab w:val="left" w:pos="5040" w:leader="none"/>
        </w:tabs>
        <w:ind w:start="720" w:end="0"/>
        <w:rPr/>
      </w:pPr>
      <w:r>
        <w:rPr/>
      </w:r>
    </w:p>
    <w:p>
      <w:pPr>
        <w:pStyle w:val="Normal"/>
        <w:widowControl/>
        <w:numPr>
          <w:ilvl w:val="0"/>
          <w:numId w:val="0"/>
        </w:numPr>
        <w:tabs>
          <w:tab w:val="clear" w:pos="720"/>
          <w:tab w:val="left" w:pos="1296" w:leader="none"/>
          <w:tab w:val="left" w:pos="5040" w:leader="none"/>
        </w:tabs>
        <w:ind w:firstLine="4320" w:start="720" w:end="0"/>
        <w:outlineLvl w:val="0"/>
        <w:rPr/>
      </w:pPr>
      <w:r>
        <w:rPr/>
        <w:t>JOHN L. WORTHAM &amp; SON, L.L.P.</w:t>
      </w:r>
    </w:p>
    <w:p>
      <w:pPr>
        <w:pStyle w:val="Normal"/>
        <w:widowControl/>
        <w:tabs>
          <w:tab w:val="clear" w:pos="720"/>
          <w:tab w:val="left" w:pos="1296" w:leader="none"/>
          <w:tab w:val="left" w:pos="5040" w:leader="none"/>
        </w:tabs>
        <w:ind w:start="720" w:end="0"/>
        <w:rPr/>
      </w:pPr>
      <w:r>
        <w:rPr/>
      </w:r>
    </w:p>
    <w:p>
      <w:pPr>
        <w:pStyle w:val="Normal"/>
        <w:widowControl/>
        <w:tabs>
          <w:tab w:val="clear" w:pos="720"/>
          <w:tab w:val="left" w:pos="1296" w:leader="none"/>
          <w:tab w:val="left" w:pos="5040" w:leader="none"/>
        </w:tabs>
        <w:ind w:start="720" w:end="0"/>
        <w:rPr/>
      </w:pPr>
      <w:r>
        <w:rPr/>
      </w:r>
    </w:p>
    <w:p>
      <w:pPr>
        <w:pStyle w:val="Normal"/>
        <w:widowControl/>
        <w:numPr>
          <w:ilvl w:val="0"/>
          <w:numId w:val="0"/>
        </w:numPr>
        <w:tabs>
          <w:tab w:val="clear" w:pos="720"/>
          <w:tab w:val="left" w:pos="1296" w:leader="none"/>
          <w:tab w:val="left" w:pos="5040" w:leader="none"/>
        </w:tabs>
        <w:ind w:hanging="1080" w:start="720" w:end="0"/>
        <w:outlineLvl w:val="0"/>
        <w:rPr/>
      </w:pPr>
      <w:r>
        <w:rPr/>
        <w:tab/>
        <w:tab/>
        <w:t>Philip N. Bair</w:t>
      </w:r>
    </w:p>
    <w:p>
      <w:pPr>
        <w:pStyle w:val="Normal"/>
        <w:widowControl/>
        <w:tabs>
          <w:tab w:val="clear" w:pos="720"/>
          <w:tab w:val="left" w:pos="1296" w:leader="none"/>
          <w:tab w:val="left" w:pos="5040" w:leader="none"/>
        </w:tabs>
        <w:ind w:start="720" w:end="0"/>
        <w:rPr/>
      </w:pPr>
      <w:r>
        <w:rPr/>
      </w:r>
    </w:p>
    <w:p>
      <w:pPr>
        <w:pStyle w:val="Normal"/>
        <w:widowControl/>
        <w:numPr>
          <w:ilvl w:val="0"/>
          <w:numId w:val="0"/>
        </w:numPr>
        <w:tabs>
          <w:tab w:val="clear" w:pos="720"/>
          <w:tab w:val="left" w:pos="1296" w:leader="none"/>
          <w:tab w:val="left" w:pos="5040" w:leader="none"/>
        </w:tabs>
        <w:ind w:start="720" w:end="0"/>
        <w:outlineLvl w:val="0"/>
        <w:rPr/>
      </w:pPr>
      <w:r>
        <w:rPr/>
        <w:t>PNB:ss</w:t>
      </w:r>
    </w:p>
    <w:p>
      <w:pPr>
        <w:pStyle w:val="Normal"/>
        <w:widowControl/>
        <w:tabs>
          <w:tab w:val="clear" w:pos="720"/>
          <w:tab w:val="left" w:pos="1296" w:leader="none"/>
          <w:tab w:val="left" w:pos="5040" w:leader="none"/>
        </w:tabs>
        <w:ind w:start="720" w:end="0"/>
        <w:rPr/>
      </w:pPr>
      <w:r>
        <w:rPr/>
      </w:r>
    </w:p>
    <w:p>
      <w:pPr>
        <w:pStyle w:val="Normal"/>
        <w:widowControl/>
        <w:tabs>
          <w:tab w:val="clear" w:pos="720"/>
          <w:tab w:val="left" w:pos="1296" w:leader="none"/>
          <w:tab w:val="left" w:pos="5040" w:leader="none"/>
        </w:tabs>
        <w:ind w:firstLine="4320" w:start="720" w:end="0"/>
        <w:rPr/>
      </w:pPr>
      <w:r>
        <w:rPr/>
      </w:r>
    </w:p>
    <w:p>
      <w:pPr>
        <w:pStyle w:val="Normal"/>
        <w:widowControl/>
        <w:tabs>
          <w:tab w:val="clear" w:pos="720"/>
          <w:tab w:val="left" w:pos="1296" w:leader="none"/>
          <w:tab w:val="left" w:pos="5040" w:leader="none"/>
        </w:tabs>
        <w:ind w:start="720" w:end="0"/>
        <w:rPr/>
      </w:pPr>
      <w:r>
        <w:rPr/>
      </w:r>
    </w:p>
    <w:p>
      <w:pPr>
        <w:sectPr>
          <w:type w:val="nextPage"/>
          <w:pgSz w:w="12240" w:h="15840"/>
          <w:pgMar w:left="720" w:right="1440" w:gutter="0" w:header="0" w:top="1440" w:footer="0" w:bottom="1872"/>
          <w:pgNumType w:fmt="decimal"/>
          <w:formProt w:val="false"/>
          <w:textDirection w:val="lrTb"/>
          <w:docGrid w:type="default" w:linePitch="360" w:charSpace="0"/>
        </w:sectPr>
      </w:pPr>
    </w:p>
    <w:p>
      <w:pPr>
        <w:pStyle w:val="Normal"/>
        <w:widowControl/>
        <w:tabs>
          <w:tab w:val="clear" w:pos="720"/>
          <w:tab w:val="left" w:pos="1296" w:leader="none"/>
          <w:tab w:val="left" w:pos="5040" w:leader="none"/>
        </w:tabs>
        <w:ind w:start="720" w:end="0"/>
        <w:rPr/>
      </w:pPr>
      <w:r>
        <w:rPr/>
      </w:r>
    </w:p>
    <w:p>
      <w:pPr>
        <w:pStyle w:val="Normal"/>
        <w:widowControl/>
        <w:tabs>
          <w:tab w:val="clear" w:pos="720"/>
          <w:tab w:val="left" w:pos="1296" w:leader="none"/>
          <w:tab w:val="left" w:pos="5040" w:leader="none"/>
        </w:tabs>
        <w:ind w:start="720" w:end="0"/>
        <w:rPr/>
      </w:pPr>
      <w:r>
        <w:rPr/>
      </w:r>
    </w:p>
    <w:p>
      <w:pPr>
        <w:pStyle w:val="Normal"/>
        <w:widowControl/>
        <w:tabs>
          <w:tab w:val="clear" w:pos="720"/>
          <w:tab w:val="left" w:pos="1296" w:leader="none"/>
          <w:tab w:val="left" w:pos="5040" w:leader="none"/>
        </w:tabs>
        <w:ind w:start="720" w:end="0"/>
        <w:rPr>
          <w:sz w:val="16"/>
        </w:rPr>
      </w:pPr>
      <w:r>
        <w:rPr>
          <w:sz w:val="16"/>
        </w:rPr>
      </w:r>
    </w:p>
    <w:sectPr>
      <w:type w:val="continuous"/>
      <w:pgSz w:w="12240" w:h="15840"/>
      <w:pgMar w:left="720" w:right="1440" w:gutter="0" w:header="0" w:top="1440" w:footer="0" w:bottom="1872"/>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settings.xml><?xml version="1.0" encoding="utf-8"?>
<w:settings xmlns:w="http://schemas.openxmlformats.org/wordprocessingml/2006/main">
  <w:zoom w:percent="7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G Times" w:hAnsi="CG Times" w:eastAsia="Times New Roman" w:cs="CG Times"/>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widowControl/>
      <w:tabs>
        <w:tab w:val="clear" w:pos="720"/>
        <w:tab w:val="left" w:pos="1296" w:leader="none"/>
        <w:tab w:val="left" w:pos="5040" w:leader="none"/>
      </w:tabs>
      <w:ind w:hanging="720" w:start="5760" w:end="0"/>
    </w:pPr>
    <w:rPr/>
  </w:style>
  <w:style w:type="paragraph" w:styleId="DocumentMap">
    <w:name w:val="Document Map"/>
    <w:basedOn w:val="Normal"/>
    <w:qFormat/>
    <w:pPr>
      <w:shd w:fill="000080" w:val="clear"/>
    </w:pPr>
    <w:rPr>
      <w:rFonts w:ascii="Tahoma" w:hAnsi="Tahoma" w:cs="Tahoma"/>
    </w:rPr>
  </w:style>
  <w:style w:type="paragraph" w:styleId="HeaderandFooter">
    <w:name w:val="Header and Footer"/>
    <w:basedOn w:val="Normal"/>
    <w:qFormat/>
    <w:pPr>
      <w:suppressLineNumbers/>
      <w:tabs>
        <w:tab w:val="clear" w:pos="720"/>
        <w:tab w:val="center" w:pos="5040" w:leader="none"/>
        <w:tab w:val="right" w:pos="10080" w:leader="none"/>
      </w:tabs>
    </w:pPr>
    <w:rPr/>
  </w:style>
  <w:style w:type="paragraph" w:styleId="Header">
    <w:name w:val="head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2001-02-21T14:49:00Z</dcterms:created>
  <dc:creator>Sherry Skinner</dc:creator>
  <dc:description/>
  <dc:language>en-CA</dc:language>
  <cp:lastModifiedBy>Phil Bair</cp:lastModifiedBy>
  <cp:lastPrinted>2001-02-21T13:06:00Z</cp:lastPrinted>
  <dcterms:modified xsi:type="dcterms:W3CDTF">2001-02-21T16:39:00Z</dcterms:modified>
  <cp:revision>4</cp:revision>
  <dc:subject/>
  <dc:title>          Philip N</dc:title>
</cp:coreProperties>
</file>