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
        </w:rPr>
      </w:pPr>
      <w:r>
        <w:rPr>
          <w:rFonts w:cs="Times New Roman" w:ascii="Times New Roman" w:hAnsi="Times New Roman"/>
          <w:sz w:val="2"/>
        </w:rPr>
      </w:r>
      <w:r>
        <mc:AlternateContent>
          <mc:Choice Requires="wps">
            <w:drawing>
              <wp:anchor behindDoc="0" distT="0" distB="0" distL="114300" distR="114300" simplePos="0" locked="0" layoutInCell="0" allowOverlap="1" relativeHeight="2">
                <wp:simplePos x="0" y="0"/>
                <wp:positionH relativeFrom="page">
                  <wp:posOffset>638810</wp:posOffset>
                </wp:positionH>
                <wp:positionV relativeFrom="paragraph">
                  <wp:posOffset>153035</wp:posOffset>
                </wp:positionV>
                <wp:extent cx="5943600" cy="167449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1674495"/>
                        </a:xfrm>
                        <a:prstGeom prst="rect"/>
                        <a:solidFill>
                          <a:srgbClr val="FFFFFF">
                            <a:alpha val="0"/>
                          </a:srgbClr>
                        </a:solidFill>
                      </wps:spPr>
                      <wps:txbx>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1.85pt;mso-wrap-distance-left:9pt;mso-wrap-distance-right:9pt;mso-wrap-distance-top:0pt;mso-wrap-distance-bottom:0pt;margin-top:12.05pt;mso-position-vertical-relative:text;margin-left:50.3pt;mso-position-horizontal-relative:page">
                <v:fill opacity="0f"/>
                <v:textbox inset="0in,0in,0in,0in">
                  <w:txbxContent>
                    <w:p>
                      <w:pPr>
                        <w:pStyle w:val="Normal"/>
                        <w:rPr>
                          <w:rFonts w:ascii="Times New Roman" w:hAnsi="Times New Roman" w:cs="Times New Roman"/>
                        </w:rPr>
                      </w:pPr>
                      <w:r>
                        <w:rPr>
                          <w:rFonts w:cs="Times New Roman" w:ascii="Times New Roman" w:hAnsi="Times New Roman"/>
                        </w:rPr>
                        <w:drawing>
                          <wp:inline distT="0" distB="0" distL="0" distR="0">
                            <wp:extent cx="1242695" cy="1234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42695" cy="1234440"/>
                                    </a:xfrm>
                                    <a:prstGeom prst="rect">
                                      <a:avLst/>
                                    </a:prstGeom>
                                    <a:noFill/>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p>
                      <w:pPr>
                        <w:pStyle w:val="Normal"/>
                        <w:ind w:end="-108"/>
                        <w:rPr>
                          <w:rFonts w:ascii="Times New Roman" w:hAnsi="Times New Roman" w:cs="Times New Roman"/>
                        </w:rPr>
                      </w:pPr>
                      <w:r>
                        <w:rPr>
                          <w:rFonts w:cs="Times New Roman" w:ascii="Times New Roman" w:hAnsi="Times New Roman"/>
                        </w:rPr>
                      </w:r>
                    </w:p>
                  </w:txbxContent>
                </v:textbox>
                <w10:wrap type="square"/>
              </v:rect>
            </w:pict>
          </mc:Fallback>
        </mc:AlternateContent>
      </w:r>
    </w:p>
    <w:tbl>
      <w:tblPr>
        <w:tblW w:w="11314" w:type="dxa"/>
        <w:jc w:val="start"/>
        <w:tblInd w:w="200" w:type="dxa"/>
        <w:tblLayout w:type="fixed"/>
        <w:tblCellMar>
          <w:top w:w="0" w:type="dxa"/>
          <w:start w:w="108" w:type="dxa"/>
          <w:bottom w:w="0" w:type="dxa"/>
          <w:end w:w="108" w:type="dxa"/>
        </w:tblCellMar>
      </w:tblPr>
      <w:tblGrid>
        <w:gridCol w:w="1008"/>
        <w:gridCol w:w="6045"/>
        <w:gridCol w:w="1296"/>
        <w:gridCol w:w="2965"/>
      </w:tblGrid>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To:</w:t>
            </w:r>
          </w:p>
        </w:tc>
        <w:tc>
          <w:tcPr>
            <w:tcW w:w="6045" w:type="dxa"/>
            <w:tcBorders/>
          </w:tcPr>
          <w:p>
            <w:pPr>
              <w:pStyle w:val="To"/>
              <w:rPr>
                <w:rFonts w:ascii="Times New Roman" w:hAnsi="Times New Roman" w:cs="Times New Roman"/>
                <w:sz w:val="24"/>
                <w:szCs w:val="24"/>
              </w:rPr>
            </w:pPr>
            <w:r>
              <w:rPr>
                <w:rFonts w:cs="Times New Roman" w:ascii="Times New Roman" w:hAnsi="Times New Roman"/>
                <w:sz w:val="24"/>
                <w:szCs w:val="24"/>
              </w:rPr>
              <w:t>Kevin Ruscitti</w:t>
            </w:r>
          </w:p>
        </w:tc>
        <w:tc>
          <w:tcPr>
            <w:tcW w:w="1296" w:type="dxa"/>
            <w:tcBorders/>
          </w:tcPr>
          <w:p>
            <w:pPr>
              <w:pStyle w:val="Normal"/>
              <w:snapToGrid w:val="false"/>
              <w:ind w:start="-180" w:end="0"/>
              <w:rPr>
                <w:rFonts w:ascii="Times New Roman" w:hAnsi="Times New Roman" w:cs="Times New Roman"/>
                <w:sz w:val="24"/>
                <w:szCs w:val="24"/>
              </w:rPr>
            </w:pPr>
            <w:r>
              <w:rPr>
                <w:rFonts w:cs="Times New Roman" w:ascii="Times New Roman" w:hAnsi="Times New Roman"/>
                <w:sz w:val="24"/>
                <w:szCs w:val="24"/>
              </w:rPr>
            </w:r>
          </w:p>
          <w:p>
            <w:pPr>
              <w:pStyle w:val="Normal"/>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1008"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008" w:type="dxa"/>
            <w:tcBorders/>
          </w:tcPr>
          <w:p>
            <w:pPr>
              <w:pStyle w:val="Normal"/>
              <w:ind w:start="-180" w:end="0"/>
              <w:jc w:val="end"/>
              <w:rPr>
                <w:rFonts w:ascii="Times New Roman" w:hAnsi="Times New Roman" w:cs="Times New Roman"/>
              </w:rPr>
            </w:pPr>
            <w:r>
              <w:rPr>
                <w:rFonts w:cs="Times New Roman" w:ascii="Times New Roman" w:hAnsi="Times New Roman"/>
              </w:rPr>
              <w:t>From:</w:t>
            </w:r>
          </w:p>
        </w:tc>
        <w:tc>
          <w:tcPr>
            <w:tcW w:w="6045" w:type="dxa"/>
            <w:tcBorders/>
          </w:tcPr>
          <w:p>
            <w:pPr>
              <w:pStyle w:val="From"/>
              <w:rPr>
                <w:rFonts w:ascii="Times New Roman" w:hAnsi="Times New Roman" w:cs="Times New Roman"/>
                <w:sz w:val="24"/>
                <w:szCs w:val="24"/>
              </w:rPr>
            </w:pPr>
            <w:r>
              <w:rPr>
                <w:rFonts w:cs="Times New Roman" w:ascii="Times New Roman" w:hAnsi="Times New Roman"/>
                <w:sz w:val="24"/>
                <w:szCs w:val="24"/>
              </w:rPr>
              <w:t>Stacy Dickson Granmayeh</w:t>
            </w:r>
          </w:p>
        </w:tc>
        <w:tc>
          <w:tcPr>
            <w:tcW w:w="1296" w:type="dxa"/>
            <w:tcBorders/>
          </w:tcPr>
          <w:p>
            <w:pPr>
              <w:pStyle w:val="Normal"/>
              <w:ind w:start="-180" w:end="0"/>
              <w:jc w:val="end"/>
              <w:rPr>
                <w:rFonts w:ascii="Times New Roman" w:hAnsi="Times New Roman" w:cs="Times New Roman"/>
              </w:rPr>
            </w:pPr>
            <w:r>
              <w:rPr>
                <w:rFonts w:cs="Times New Roman" w:ascii="Times New Roman" w:hAnsi="Times New Roman"/>
              </w:rPr>
              <w:t>Department:</w:t>
            </w:r>
          </w:p>
        </w:tc>
        <w:tc>
          <w:tcPr>
            <w:tcW w:w="2965" w:type="dxa"/>
            <w:tcBorders/>
          </w:tcPr>
          <w:p>
            <w:pPr>
              <w:pStyle w:val="Department"/>
              <w:rPr>
                <w:rFonts w:ascii="Times New Roman" w:hAnsi="Times New Roman" w:cs="Times New Roman"/>
                <w:sz w:val="24"/>
                <w:szCs w:val="24"/>
              </w:rPr>
            </w:pPr>
            <w:bookmarkStart w:id="0" w:name="From"/>
            <w:bookmarkEnd w:id="0"/>
            <w:r>
              <w:rPr>
                <w:rFonts w:cs="Times New Roman" w:ascii="Times New Roman" w:hAnsi="Times New Roman"/>
                <w:sz w:val="24"/>
                <w:szCs w:val="24"/>
              </w:rPr>
              <w:t>ENA - Legal</w:t>
            </w:r>
          </w:p>
        </w:tc>
      </w:tr>
      <w:tr>
        <w:trPr>
          <w:trHeight w:val="216" w:hRule="exact"/>
        </w:trPr>
        <w:tc>
          <w:tcPr>
            <w:tcW w:w="1008" w:type="dxa"/>
            <w:tcBorders/>
          </w:tcPr>
          <w:p>
            <w:pPr>
              <w:pStyle w:val="Normal"/>
              <w:snapToGrid w:val="false"/>
              <w:ind w:start="-180" w:end="0"/>
              <w:jc w:val="end"/>
              <w:rPr>
                <w:rFonts w:ascii="Times New Roman" w:hAnsi="Times New Roman" w:cs="Times New Roman"/>
                <w:sz w:val="24"/>
                <w:szCs w:val="24"/>
              </w:rPr>
            </w:pPr>
            <w:r>
              <w:rPr>
                <w:rFonts w:cs="Times New Roman" w:ascii="Times New Roman" w:hAnsi="Times New Roman"/>
                <w:sz w:val="24"/>
                <w:szCs w:val="24"/>
              </w:rPr>
            </w:r>
          </w:p>
        </w:tc>
        <w:tc>
          <w:tcPr>
            <w:tcW w:w="6045" w:type="dxa"/>
            <w:tcBorders/>
          </w:tcPr>
          <w:p>
            <w:pPr>
              <w:pStyle w:val="Normal"/>
              <w:snapToGrid w:val="false"/>
              <w:rPr>
                <w:rFonts w:ascii="Times New Roman" w:hAnsi="Times New Roman" w:cs="Times New Roman"/>
              </w:rPr>
            </w:pPr>
            <w:r>
              <w:rPr>
                <w:rFonts w:cs="Times New Roman" w:ascii="Times New Roman" w:hAnsi="Times New Roman"/>
              </w:rPr>
            </w:r>
          </w:p>
        </w:tc>
        <w:tc>
          <w:tcPr>
            <w:tcW w:w="1296"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600" w:hRule="exact"/>
        </w:trPr>
        <w:tc>
          <w:tcPr>
            <w:tcW w:w="1008"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Subject:</w:t>
            </w:r>
          </w:p>
        </w:tc>
        <w:tc>
          <w:tcPr>
            <w:tcW w:w="6045" w:type="dxa"/>
            <w:tcBorders>
              <w:bottom w:val="single" w:sz="12" w:space="0" w:color="000000"/>
            </w:tcBorders>
          </w:tcPr>
          <w:p>
            <w:pPr>
              <w:pStyle w:val="Subject"/>
              <w:rPr>
                <w:rFonts w:ascii="Times New Roman" w:hAnsi="Times New Roman" w:cs="Times New Roman"/>
                <w:b/>
                <w:bCs/>
                <w:sz w:val="24"/>
                <w:szCs w:val="24"/>
              </w:rPr>
            </w:pPr>
            <w:bookmarkStart w:id="1" w:name="tSubject"/>
            <w:bookmarkEnd w:id="1"/>
            <w:r>
              <w:rPr>
                <w:rFonts w:cs="Times New Roman" w:ascii="Times New Roman" w:hAnsi="Times New Roman"/>
                <w:b/>
                <w:bCs/>
                <w:sz w:val="24"/>
                <w:szCs w:val="24"/>
              </w:rPr>
              <w:t>Language for Enron Online ANR ML7 Secondary Firm Product</w:t>
            </w:r>
          </w:p>
        </w:tc>
        <w:tc>
          <w:tcPr>
            <w:tcW w:w="1296" w:type="dxa"/>
            <w:tcBorders>
              <w:bottom w:val="single" w:sz="12" w:space="0" w:color="000000"/>
            </w:tcBorders>
          </w:tcPr>
          <w:p>
            <w:pPr>
              <w:pStyle w:val="Normal"/>
              <w:ind w:start="-180" w:end="0"/>
              <w:jc w:val="end"/>
              <w:rPr>
                <w:rFonts w:ascii="Times New Roman" w:hAnsi="Times New Roman" w:cs="Times New Roman"/>
              </w:rPr>
            </w:pPr>
            <w:r>
              <w:rPr>
                <w:rFonts w:cs="Times New Roman" w:ascii="Times New Roman" w:hAnsi="Times New Roman"/>
              </w:rPr>
              <w:t>Date:</w:t>
            </w:r>
          </w:p>
        </w:tc>
        <w:tc>
          <w:tcPr>
            <w:tcW w:w="2965" w:type="dxa"/>
            <w:tcBorders>
              <w:bottom w:val="single" w:sz="12" w:space="0" w:color="000000"/>
            </w:tcBorders>
          </w:tcPr>
          <w:p>
            <w:pPr>
              <w:pStyle w:val="Date"/>
              <w:rPr>
                <w:rFonts w:ascii="Times New Roman" w:hAnsi="Times New Roman" w:cs="Times New Roman"/>
                <w:sz w:val="24"/>
                <w:szCs w:val="24"/>
              </w:rPr>
            </w:pPr>
            <w:r>
              <w:rPr>
                <w:rFonts w:cs="Times New Roman" w:ascii="Times New Roman" w:hAnsi="Times New Roman"/>
                <w:sz w:val="24"/>
                <w:szCs w:val="24"/>
              </w:rPr>
              <w:t>May 1, 2001</w:t>
            </w:r>
          </w:p>
        </w:tc>
      </w:tr>
    </w:tbl>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bookmarkStart w:id="2" w:name="StartOfMemo"/>
      <w:bookmarkStart w:id="3" w:name="StartOfMemo"/>
      <w:bookmarkEnd w:id="3"/>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Below please find proposed language for the Enron Online ANR ML7 Secondary Firm Product that you are developing:</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A US gas transaction with Enron North America Corp., under which Seller shall sell and Buyer shall purchase a quantity of natural gas equal to the Daily Contract Quantity at the Contract Price on a Secondary Firm Basis.  The Contract Price shall be as submitted by Counterparty via the website.  The Period of Delivery shall be from the Effective Date through the Termination Date.  The term of the Transaction shall correspond to the date(s) set forth in the Product Description on the Website.  The Transaction is for delivery at an ANR Pipeline Company ML7 Delivery Point.</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Buyer will notify Seller by 10:30 a.m. the day prior to gas flow of (i) which ML7 interconnect at which Seller elects to take delivery; and (ii) the applicable downstream information including transportation contract number and Duns number.  The volumes delivered by Seller are subject to reductions due operational constraints on the ANR Pipeline Co. system.  In the event that scheduled volumes are reduced due to pipeline operational constraints, Buyer shall notify Seller no later than one and one-half hours prior to the next GISB scheduling cycle of an alternative ML7 delivery point.  Buyer shall continue to provide Seller with alternative ML7 delivery points through the next two GISB scheduling cycles, if necessary to select an unconstrained point.  In the event Buyer does not give Seller an alternative ML7 delivery point by the final GISB scheduling cycle for the day of gas flow, Buyer must arrange at Buyer’s expense, or have Seller to arrange at Buyer’s expense, to have gas delivered off-system, stored or parked.</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The price is quoted in US dollars per unit of volume, which will be the Contractual Currency.  The unit of measure against which the price is quoted shall be millions of British Thermal Units (BTUs) and the quantity shown shall be in millions of BTUs per day.</w:t>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r>
    </w:p>
    <w:p>
      <w:pPr>
        <w:pStyle w:val="CopyList"/>
        <w:tabs>
          <w:tab w:val="clear" w:pos="504"/>
        </w:tabs>
        <w:spacing w:before="0" w:after="0"/>
        <w:ind w:hanging="0" w:start="72" w:end="0"/>
        <w:jc w:val="both"/>
        <w:rPr>
          <w:rFonts w:ascii="Times New Roman" w:hAnsi="Times New Roman" w:cs="Times New Roman"/>
          <w:sz w:val="24"/>
          <w:szCs w:val="24"/>
        </w:rPr>
      </w:pPr>
      <w:r>
        <w:rPr>
          <w:rFonts w:cs="Times New Roman" w:ascii="Times New Roman" w:hAnsi="Times New Roman"/>
          <w:sz w:val="24"/>
          <w:szCs w:val="24"/>
        </w:rPr>
        <w:t>Please review and call me with your comments at x3-5705.</w:t>
      </w:r>
    </w:p>
    <w:sectPr>
      <w:headerReference w:type="default" r:id="rId4"/>
      <w:headerReference w:type="first" r:id="rId5"/>
      <w:footerReference w:type="default" r:id="rId6"/>
      <w:footerReference w:type="first" r:id="rId7"/>
      <w:type w:val="nextPage"/>
      <w:pgSz w:w="12240" w:h="15840"/>
      <w:pgMar w:left="1440" w:right="144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/mnt/main-storage/datasets/enron-docs/doc/EnronOnline_memo_to_Kevin_Ruscitti_4_30_01.doc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rPr>
    </w:pPr>
    <w:r>
      <w:rPr>
        <w:rFonts w:cs="Times New Roman" w:ascii="Times New Roman" w:hAnsi="Times New Roman"/>
      </w:rPr>
      <w:t>Marcy Youngerman</w:t>
    </w:r>
  </w:p>
  <w:p>
    <w:pPr>
      <w:pStyle w:val="Header"/>
      <w:rPr>
        <w:rFonts w:ascii="Times New Roman" w:hAnsi="Times New Roman" w:cs="Times New Roman"/>
      </w:rPr>
    </w:pPr>
    <w:r>
      <w:rPr>
        <w:rFonts w:cs="Times New Roman" w:ascii="Times New Roman" w:hAnsi="Times New Roman"/>
      </w:rPr>
      <w:t>April 22, 1999</w:t>
    </w:r>
  </w:p>
  <w:p>
    <w:pPr>
      <w:pStyle w:val="Header"/>
      <w:rPr>
        <w:rStyle w:val="PageNumbe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p>
    <w:pPr>
      <w:pStyle w:val="Header"/>
      <w:rPr>
        <w:rStyle w:val="PageNumber"/>
        <w:rFonts w:ascii="Times New Roman" w:hAnsi="Times New Roman" w:cs="Times New Roman"/>
      </w:rPr>
    </w:pPr>
    <w:r>
      <w:rPr/>
    </w:r>
  </w:p>
  <w:p>
    <w:pPr>
      <w:pStyle w:val="Header"/>
      <w:rPr>
        <w:rStyle w:val="PageNumber"/>
        <w:rFonts w:ascii="Times New Roman" w:hAnsi="Times New Roman" w:cs="Times New Roman"/>
      </w:rPr>
    </w:pPr>
    <w:r>
      <w:rPr/>
    </w:r>
  </w:p>
  <w:p>
    <w:pPr>
      <w:pStyle w:val="Header"/>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658495"/>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2001-05-01T18:33:00Z</dcterms:created>
  <dc:creator>ECT</dc:creator>
  <dc:description/>
  <dc:language>en-CA</dc:language>
  <cp:lastModifiedBy>Theresa Zucha</cp:lastModifiedBy>
  <cp:lastPrinted>2001-05-01T16:03:00Z</cp:lastPrinted>
  <dcterms:modified xsi:type="dcterms:W3CDTF">2001-05-01T18:33:00Z</dcterms:modified>
  <cp:revision>2</cp:revision>
  <dc:subject>The Subject of the Memo</dc:subject>
  <dc:title> 	</dc:title>
</cp:coreProperties>
</file>