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Arial" w:hAnsi="Arial" w:cs="Arial"/>
        </w:rPr>
      </w:pPr>
      <w:r>
        <w:rPr>
          <w:rFonts w:cs="Arial" w:ascii="Arial" w:hAnsi="Arial"/>
        </w:rPr>
        <w:t>Enron Japan Corp.</w:t>
      </w:r>
    </w:p>
    <w:p>
      <w:pPr>
        <w:pStyle w:val="Normal"/>
        <w:jc w:val="end"/>
        <w:rPr/>
      </w:pPr>
      <w:r>
        <w:rPr>
          <w:rFonts w:cs="Arial" w:ascii="Arial" w:hAnsi="Arial"/>
        </w:rPr>
        <w:t>Kamiyacho Mori Bldg. 14</w:t>
      </w:r>
      <w:r>
        <w:rPr>
          <w:rFonts w:cs="Arial" w:ascii="Arial" w:hAnsi="Arial"/>
          <w:vertAlign w:val="superscript"/>
        </w:rPr>
        <w:t>th</w:t>
      </w:r>
      <w:r>
        <w:rPr>
          <w:rFonts w:cs="Arial" w:ascii="Arial" w:hAnsi="Arial"/>
        </w:rPr>
        <w:t xml:space="preserve"> Floor</w:t>
      </w:r>
    </w:p>
    <w:p>
      <w:pPr>
        <w:pStyle w:val="Normal"/>
        <w:jc w:val="end"/>
        <w:rPr>
          <w:rFonts w:ascii="Arial" w:hAnsi="Arial" w:cs="Arial"/>
        </w:rPr>
      </w:pPr>
      <w:r>
        <w:rPr>
          <w:rFonts w:cs="Arial" w:ascii="Arial" w:hAnsi="Arial"/>
        </w:rPr>
        <w:t>4-3-20 Toranomon, Minato-ku</w:t>
      </w:r>
    </w:p>
    <w:p>
      <w:pPr>
        <w:pStyle w:val="Normal"/>
        <w:jc w:val="end"/>
        <w:rPr>
          <w:rFonts w:ascii="Arial" w:hAnsi="Arial" w:cs="Arial"/>
          <w:sz w:val="22"/>
        </w:rPr>
      </w:pPr>
      <w:r>
        <w:rPr>
          <w:rFonts w:cs="Arial" w:ascii="Arial" w:hAnsi="Arial"/>
        </w:rPr>
        <w:t>Tokyo  105-0001</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rPr>
          <w:rFonts w:ascii="Arial" w:hAnsi="Arial" w:cs="Arial"/>
        </w:rPr>
      </w:pPr>
      <w:r>
        <w:rPr>
          <w:rFonts w:cs="Arial" w:ascii="Arial" w:hAnsi="Arial"/>
        </w:rPr>
        <w:t>May 2000</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Dear Sir or Madam,</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We are enthused about the opportunities that are being created for enhancing the competitiveness of Japanese businesses through technology and market reforms.  Consequently, Enron has decided to establish a merchant business here in Japan.  As our first demonstration of commitment to this market, we are pleased to introduce a unique business tool to meet the challenges and demands of a changing energy environment.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This business tool, EnronOnline, is a Web-based system that allows customers to buy and sell commodities throughout the world with Enron.  This free-of-charge system enables business partners to look at Enron’s prices and to transact on various commodities in real-time via the Internet.  EnronOnline is truly global in its scope as it supports a multitude of products across the Americas, Europe and Asia.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Initially, EnronOnline in Japan will focus on crude and refined products.  As the market progresses and expands, Japanese energy products will be added, and more products and regions will be introduced continuously.</w:t>
      </w:r>
    </w:p>
    <w:p>
      <w:pPr>
        <w:pStyle w:val="BodyText2"/>
        <w:jc w:val="start"/>
        <w:rPr>
          <w:rFonts w:ascii="Arial" w:hAnsi="Arial" w:cs="Arial"/>
          <w:sz w:val="20"/>
        </w:rPr>
      </w:pPr>
      <w:r>
        <w:rPr>
          <w:rFonts w:cs="Arial"/>
          <w:sz w:val="20"/>
        </w:rPr>
      </w:r>
    </w:p>
    <w:p>
      <w:pPr>
        <w:pStyle w:val="BodyText2"/>
        <w:rPr>
          <w:sz w:val="20"/>
        </w:rPr>
      </w:pPr>
      <w:r>
        <w:rPr>
          <w:sz w:val="20"/>
        </w:rPr>
        <w:t>In order to apply for transaction status with EnronOnline all your company needs to do is complete the enclosed Registration Form and the Password Application Form for a Master User account.  Each Master User will be able to grant various levels of access for additional users.</w:t>
      </w:r>
    </w:p>
    <w:p>
      <w:pPr>
        <w:pStyle w:val="BodyText2"/>
        <w:jc w:val="start"/>
        <w:rPr>
          <w:sz w:val="20"/>
        </w:rPr>
      </w:pPr>
      <w:r>
        <w:rPr>
          <w:sz w:val="20"/>
        </w:rPr>
      </w:r>
    </w:p>
    <w:p>
      <w:pPr>
        <w:pStyle w:val="BodyText2"/>
        <w:jc w:val="start"/>
        <w:rPr/>
      </w:pPr>
      <w:r>
        <w:rPr>
          <w:sz w:val="20"/>
        </w:rPr>
        <w:t xml:space="preserve">For a glimpse of how EnronOnline can enhance your business, feel free to visit our site at </w:t>
      </w:r>
      <w:hyperlink r:id="rId2">
        <w:r>
          <w:rPr>
            <w:rStyle w:val="Hyperlink"/>
            <w:sz w:val="20"/>
          </w:rPr>
          <w:t>www.EnronOnline.com</w:t>
        </w:r>
      </w:hyperlink>
      <w:r>
        <w:rPr>
          <w:sz w:val="20"/>
        </w:rPr>
        <w:t xml:space="preserve">. </w:t>
      </w:r>
    </w:p>
    <w:p>
      <w:pPr>
        <w:pStyle w:val="BodyText2"/>
        <w:jc w:val="start"/>
        <w:rPr>
          <w:sz w:val="20"/>
        </w:rPr>
      </w:pPr>
      <w:r>
        <w:rPr>
          <w:sz w:val="20"/>
        </w:rPr>
      </w:r>
    </w:p>
    <w:p>
      <w:pPr>
        <w:pStyle w:val="BodyText2"/>
        <w:rPr/>
      </w:pPr>
      <w:r>
        <w:rPr>
          <w:sz w:val="20"/>
        </w:rPr>
        <w:t>You also can use the Guest User ID and Password (</w:t>
      </w:r>
      <w:r>
        <w:rPr>
          <w:sz w:val="20"/>
        </w:rPr>
        <w:t>attached</w:t>
      </w:r>
      <w:r>
        <w:rPr>
          <w:sz w:val="20"/>
        </w:rPr>
        <w:t xml:space="preserve">) to visit us while we process your Password Application. </w:t>
      </w:r>
    </w:p>
    <w:p>
      <w:pPr>
        <w:pStyle w:val="Normal"/>
        <w:rPr>
          <w:rFonts w:ascii="Arial" w:hAnsi="Arial" w:cs="Arial"/>
          <w:sz w:val="20"/>
        </w:rPr>
      </w:pPr>
      <w:r>
        <w:rPr>
          <w:rFonts w:cs="Arial" w:ascii="Arial" w:hAnsi="Arial"/>
          <w:sz w:val="20"/>
        </w:rPr>
      </w:r>
    </w:p>
    <w:p>
      <w:pPr>
        <w:pStyle w:val="Normal"/>
        <w:rPr/>
      </w:pPr>
      <w:r>
        <w:rPr>
          <w:rFonts w:cs="Arial" w:ascii="Arial" w:hAnsi="Arial"/>
        </w:rPr>
        <w:t>We hope you will find that EnronOnline provides an easy and more efficient way to do business with Enron. If you have any questions or would like to learn more about what we can do to meet your energy needs, we invite you to call us at our toll free number</w:t>
      </w:r>
      <w:r>
        <w:rPr>
          <w:rFonts w:cs="Arial" w:ascii="Arial" w:hAnsi="Arial"/>
        </w:rPr>
        <w:t>: 0120-8</w:t>
      </w:r>
      <w:r>
        <w:rPr>
          <w:rFonts w:cs="Arial" w:ascii="Arial" w:hAnsi="Arial"/>
        </w:rPr>
        <w:t xml:space="preserve"> ENRON (</w:t>
      </w:r>
      <w:r>
        <w:rPr>
          <w:rFonts w:cs="Arial" w:ascii="Arial" w:hAnsi="Arial"/>
        </w:rPr>
        <w:t>36766</w:t>
      </w:r>
      <w:r>
        <w:rPr>
          <w:rFonts w:cs="Arial" w:ascii="Arial" w:hAnsi="Arial"/>
        </w:rPr>
        <w:t>).  As a corporate partner, we are committed to providing comprehensive and visionary solutions that translate into global economic progress.  At Enron Japan, we look forward to working with you today to find the solutions of tomorrow.</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Sincerely,</w:t>
      </w:r>
    </w:p>
    <w:p>
      <w:pPr>
        <w:pStyle w:val="Normal"/>
        <w:rPr>
          <w:rFonts w:ascii="Arial" w:hAnsi="Arial" w:cs="Arial"/>
        </w:rPr>
      </w:pPr>
      <w:r>
        <w:rPr/>
        <w:object w:dxaOrig="2610" w:dyaOrig="205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130.5pt;height:102.75pt" filled="f" o:ole="">
            <v:imagedata r:id="rId4" o:title=""/>
          </v:shape>
          <o:OLEObject Type="Embed" ProgID="" ShapeID="ole_rId3" DrawAspect="Content" ObjectID="_780992205" r:id="rId3"/>
        </w:object>
      </w:r>
    </w:p>
    <w:p>
      <w:pPr>
        <w:pStyle w:val="Normal"/>
        <w:rPr>
          <w:rFonts w:ascii="Arial" w:hAnsi="Arial" w:cs="Arial"/>
        </w:rPr>
      </w:pPr>
      <w:r>
        <w:rPr>
          <w:rFonts w:cs="Arial" w:ascii="Arial" w:hAnsi="Arial"/>
        </w:rPr>
        <w:t>Joseph P. Hirl</w:t>
      </w:r>
    </w:p>
    <w:p>
      <w:pPr>
        <w:pStyle w:val="Normal"/>
        <w:rPr>
          <w:rFonts w:ascii="Arial" w:hAnsi="Arial" w:cs="Arial"/>
        </w:rPr>
      </w:pPr>
      <w:r>
        <w:rPr>
          <w:rFonts w:cs="Arial" w:ascii="Arial" w:hAnsi="Arial"/>
        </w:rPr>
        <w:t>President and CEO</w:t>
      </w:r>
    </w:p>
    <w:p>
      <w:pPr>
        <w:pStyle w:val="Normal"/>
        <w:rPr/>
      </w:pPr>
      <w:r>
        <w:rPr>
          <w:rFonts w:cs="Arial" w:ascii="Arial" w:hAnsi="Arial"/>
        </w:rPr>
        <w:t xml:space="preserve">Enron Japan </w:t>
      </w:r>
      <w:r>
        <w:rPr>
          <w:rFonts w:cs="Arial" w:ascii="Arial" w:hAnsi="Arial"/>
        </w:rPr>
        <w:t>Corp.</w:t>
      </w:r>
      <w:r>
        <w:rPr>
          <w:rFonts w:cs="Arial" w:ascii="Arial" w:hAnsi="Arial"/>
        </w:rPr>
        <w:tab/>
        <w:tab/>
        <w:tab/>
        <w:tab/>
        <w:tab/>
        <w:tab/>
        <w:tab/>
      </w:r>
    </w:p>
    <w:p>
      <w:pPr>
        <w:pStyle w:val="Normal"/>
        <w:jc w:val="end"/>
        <w:rPr>
          <w:rFonts w:ascii="Arial" w:hAnsi="Arial" w:cs="Arial"/>
        </w:rPr>
      </w:pPr>
      <w:r>
        <w:rPr>
          <w:rFonts w:cs="Arial" w:ascii="Arial" w:hAnsi="Arial"/>
        </w:rPr>
      </w:r>
    </w:p>
    <w:sectPr>
      <w:type w:val="nextPage"/>
      <w:pgSz w:w="12240" w:h="15840"/>
      <w:pgMar w:left="1440" w:right="1440" w:gutter="0" w:header="0" w:top="1440" w:footer="0" w:bottom="30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MS Mincho;MS Gothic" w:cs="Times New Roman"/>
      <w:color w:val="auto"/>
      <w:sz w:val="20"/>
      <w:szCs w:val="20"/>
      <w:lang w:val="en-US" w:eastAsia="ja-JP" w:bidi="ar-SA"/>
    </w:rPr>
  </w:style>
  <w:style w:type="paragraph" w:styleId="Heading1">
    <w:name w:val="heading 1"/>
    <w:basedOn w:val="Normal"/>
    <w:next w:val="Normal"/>
    <w:qFormat/>
    <w:pPr>
      <w:keepNext w:val="true"/>
      <w:numPr>
        <w:ilvl w:val="0"/>
        <w:numId w:val="1"/>
      </w:numPr>
      <w:outlineLvl w:val="0"/>
    </w:pPr>
    <w:rPr>
      <w:rFonts w:ascii="Arial" w:hAnsi="Arial" w:cs="Arial"/>
      <w:b/>
      <w:sz w:val="22"/>
    </w:rPr>
  </w:style>
  <w:style w:type="paragraph" w:styleId="Heading2">
    <w:name w:val="heading 2"/>
    <w:basedOn w:val="Normal"/>
    <w:next w:val="Normal"/>
    <w:qFormat/>
    <w:pPr>
      <w:keepNext w:val="true"/>
      <w:numPr>
        <w:ilvl w:val="1"/>
        <w:numId w:val="1"/>
      </w:numPr>
      <w:tabs>
        <w:tab w:val="clear" w:pos="720"/>
        <w:tab w:val="center" w:pos="4320" w:leader="none"/>
      </w:tabs>
      <w:outlineLvl w:val="1"/>
    </w:pPr>
    <w:rPr>
      <w:b/>
      <w:sz w:val="18"/>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rFonts w:ascii="Arial" w:hAnsi="Arial" w:cs="Arial"/>
      <w:b/>
      <w:sz w:val="32"/>
    </w:rPr>
  </w:style>
  <w:style w:type="paragraph" w:styleId="BodyText">
    <w:name w:val="Body Text"/>
    <w:basedOn w:val="Normal"/>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Arial" w:hAnsi="Arial" w:cs="Arial"/>
      <w:sz w:val="22"/>
    </w:rPr>
  </w:style>
  <w:style w:type="paragraph" w:styleId="BodyText3">
    <w:name w:val="Body Text 3"/>
    <w:basedOn w:val="Normal"/>
    <w:qFormat/>
    <w:pPr>
      <w:tabs>
        <w:tab w:val="left" w:pos="720" w:leader="none"/>
      </w:tabs>
      <w:jc w:val="both"/>
    </w:pPr>
    <w:rPr>
      <w:sz w:val="18"/>
    </w:rPr>
  </w:style>
  <w:style w:type="paragraph" w:styleId="BodyTextIndent">
    <w:name w:val="Body Text Indent"/>
    <w:basedOn w:val="Normal"/>
    <w:pPr>
      <w:ind w:firstLine="1440" w:start="0" w:end="0"/>
      <w:jc w:val="both"/>
    </w:pPr>
    <w:rPr>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online.com/" TargetMode="External"/><Relationship Id="rId3" Type="http://schemas.openxmlformats.org/officeDocument/2006/relationships/oleObject" Target="embeddings/oleObject1.bin"/><Relationship Id="rId4"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2000-04-23T22:18:00Z</dcterms:created>
  <dc:creator>Rahil R. Jafry</dc:creator>
  <dc:description/>
  <dc:language>en-CA</dc:language>
  <cp:lastModifiedBy>Enron</cp:lastModifiedBy>
  <cp:lastPrinted>2000-04-26T20:18:00Z</cp:lastPrinted>
  <dcterms:modified xsi:type="dcterms:W3CDTF">2000-04-26T07:59:00Z</dcterms:modified>
  <cp:revision>11</cp:revision>
  <dc:subject/>
  <dc:title>Intro. Letter - Brochure</dc:title>
</cp:coreProperties>
</file>