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PARAGRAPH USED BY ECT INTN’L FOR EOL TRADES</w:t>
      </w:r>
    </w:p>
    <w:p>
      <w:pPr>
        <w:pStyle w:val="Normal"/>
        <w:rPr>
          <w:u w:val="single"/>
        </w:rPr>
      </w:pPr>
      <w:r>
        <w:rPr>
          <w:u w:val="single"/>
        </w:rPr>
      </w:r>
    </w:p>
    <w:p>
      <w:pPr>
        <w:pStyle w:val="Normal"/>
        <w:rPr/>
      </w:pPr>
      <w:r>
        <w:rPr/>
      </w:r>
    </w:p>
    <w:p>
      <w:pPr>
        <w:pStyle w:val="Normal"/>
        <w:tabs>
          <w:tab w:val="clear" w:pos="720"/>
          <w:tab w:val="left" w:pos="3600" w:leader="none"/>
        </w:tabs>
        <w:jc w:val="both"/>
        <w:rPr>
          <w:sz w:val="28"/>
        </w:rPr>
      </w:pPr>
      <w:r>
        <w:rPr>
          <w:sz w:val="28"/>
        </w:rPr>
        <w:t>This Transaction is governed by the EnronOnline General Terms and Conditions ("GTC") that you have accepted via EnronOnline.  For a copy of this GTC, please click on the Product Description on the EnronOnline website and choose "View GTC".  This Transaction constitutes a written confirmation by way of record only of the terms of the transaction entered into between [Enron Entity] and Counterparty</w:t>
      </w:r>
      <w:r>
        <w:rPr>
          <w:color w:val="000000"/>
          <w:sz w:val="28"/>
        </w:rPr>
        <w:t xml:space="preserve"> via EnronOnline on the terms specified below.  In the event of any conflict between this written confirmation and [Enron Entity Code]’s electronic records or paper copies of such electronic records relating to the Transaction, the latter shall prevail.</w:t>
      </w:r>
    </w:p>
    <w:p>
      <w:pPr>
        <w:pStyle w:val="Normal"/>
        <w:tabs>
          <w:tab w:val="left" w:pos="720" w:leader="none"/>
        </w:tabs>
        <w:jc w:val="both"/>
        <w:rPr>
          <w:sz w:val="28"/>
        </w:rPr>
      </w:pPr>
      <w:r>
        <w:rPr>
          <w:sz w:val="28"/>
        </w:rPr>
      </w:r>
    </w:p>
    <w:p>
      <w:pPr>
        <w:pStyle w:val="Normal"/>
        <w:tabs>
          <w:tab w:val="left" w:pos="720" w:leader="none"/>
        </w:tabs>
        <w:jc w:val="both"/>
        <w:rPr>
          <w:sz w:val="28"/>
        </w:rPr>
      </w:pPr>
      <w:r>
        <w:rPr>
          <w:sz w:val="28"/>
        </w:rPr>
        <w:t>The time of execution of the Transaction is available from [Enron Entity Code] upon request.  The terms of the particular Transaction are as follows:</w:t>
      </w:r>
    </w:p>
    <w:p>
      <w:pPr>
        <w:pStyle w:val="Normal"/>
        <w:rPr>
          <w:sz w:val="28"/>
        </w:rPr>
      </w:pPr>
      <w:r>
        <w:rPr>
          <w:sz w:val="28"/>
        </w:rPr>
      </w:r>
    </w:p>
    <w:p>
      <w:pPr>
        <w:pStyle w:val="Normal"/>
        <w:rPr/>
      </w:pPr>
      <w:r>
        <w:rPr/>
      </w:r>
    </w:p>
    <w:p>
      <w:pPr>
        <w:pStyle w:val="BodyText2"/>
        <w:rPr>
          <w:u w:val="single"/>
        </w:rPr>
      </w:pPr>
      <w:r>
        <w:rPr>
          <w:u w:val="single"/>
        </w:rPr>
        <w:t>CURRENT PARAGRAPHS USED BY ENA TO INCORPORATE GTC</w:t>
      </w:r>
    </w:p>
    <w:p>
      <w:pPr>
        <w:pStyle w:val="Normal"/>
        <w:rPr>
          <w:sz w:val="28"/>
          <w:u w:val="single"/>
        </w:rPr>
      </w:pPr>
      <w:r>
        <w:rPr>
          <w:sz w:val="28"/>
          <w:u w:val="single"/>
        </w:rPr>
      </w:r>
    </w:p>
    <w:p>
      <w:pPr>
        <w:pStyle w:val="Heading2"/>
        <w:ind w:hanging="0" w:start="0"/>
        <w:rPr/>
      </w:pPr>
      <w:r>
        <w:rPr/>
        <w:t>Financial</w:t>
      </w:r>
    </w:p>
    <w:p>
      <w:pPr>
        <w:pStyle w:val="Normal"/>
        <w:rPr>
          <w:sz w:val="28"/>
        </w:rPr>
      </w:pPr>
      <w:r>
        <w:rPr>
          <w:sz w:val="28"/>
        </w:rPr>
      </w:r>
    </w:p>
    <w:p>
      <w:pPr>
        <w:pStyle w:val="BodyText"/>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8"/>
        </w:rPr>
      </w:pPr>
      <w:r>
        <w:rPr>
          <w:sz w:val="28"/>
        </w:rPr>
      </w:r>
    </w:p>
    <w:tbl>
      <w:tblPr>
        <w:tblW w:w="9468" w:type="dxa"/>
        <w:jc w:val="start"/>
        <w:tblInd w:w="0" w:type="dxa"/>
        <w:tblLayout w:type="fixed"/>
        <w:tblCellMar>
          <w:top w:w="0" w:type="dxa"/>
          <w:start w:w="108" w:type="dxa"/>
          <w:bottom w:w="0" w:type="dxa"/>
          <w:end w:w="108" w:type="dxa"/>
        </w:tblCellMar>
      </w:tblPr>
      <w:tblGrid>
        <w:gridCol w:w="3348"/>
        <w:gridCol w:w="6120"/>
      </w:tblGrid>
      <w:tr>
        <w:trPr/>
        <w:tc>
          <w:tcPr>
            <w:tcW w:w="3348" w:type="dxa"/>
            <w:tcBorders/>
          </w:tcPr>
          <w:p>
            <w:pPr>
              <w:pStyle w:val="Normal"/>
              <w:rPr>
                <w:b/>
                <w:sz w:val="28"/>
              </w:rPr>
            </w:pPr>
            <w:r>
              <w:rPr>
                <w:b/>
                <w:sz w:val="28"/>
              </w:rPr>
              <w:t>General Terms and Conditions</w:t>
            </w:r>
          </w:p>
          <w:p>
            <w:pPr>
              <w:pStyle w:val="Normal"/>
              <w:rPr>
                <w:sz w:val="28"/>
              </w:rPr>
            </w:pPr>
            <w:r>
              <w:rPr>
                <w:b/>
                <w:sz w:val="28"/>
              </w:rPr>
              <w:t>of Confirmations:</w:t>
            </w:r>
          </w:p>
        </w:tc>
        <w:tc>
          <w:tcPr>
            <w:tcW w:w="6120" w:type="dxa"/>
            <w:tcBorders/>
          </w:tcPr>
          <w:p>
            <w:pPr>
              <w:pStyle w:val="Normal"/>
              <w:snapToGrid w:val="false"/>
              <w:jc w:val="both"/>
              <w:rPr>
                <w:sz w:val="28"/>
              </w:rPr>
            </w:pPr>
            <w:r>
              <w:rPr>
                <w:sz w:val="28"/>
              </w:rPr>
            </w:r>
          </w:p>
          <w:p>
            <w:pPr>
              <w:pStyle w:val="Normal"/>
              <w:jc w:val="both"/>
              <w:rPr/>
            </w:pPr>
            <w:r>
              <w:rPr>
                <w:sz w:val="28"/>
              </w:rPr>
              <w:t>The general terms and conditions contained in Annex A</w:t>
            </w:r>
            <w:r>
              <w:rPr>
                <w:b/>
                <w:sz w:val="28"/>
              </w:rPr>
              <w:t xml:space="preserve"> </w:t>
            </w:r>
            <w:r>
              <w:rPr>
                <w:sz w:val="28"/>
              </w:rPr>
              <w:t>attached hereto and made a part hereof apply and are incorporated herein by reference</w:t>
            </w:r>
          </w:p>
        </w:tc>
      </w:tr>
    </w:tbl>
    <w:p>
      <w:pPr>
        <w:pStyle w:val="Normal"/>
        <w:rPr>
          <w:sz w:val="28"/>
        </w:rPr>
      </w:pPr>
      <w:r>
        <w:rPr>
          <w:sz w:val="28"/>
        </w:rPr>
      </w:r>
    </w:p>
    <w:p>
      <w:pPr>
        <w:pStyle w:val="Heading2"/>
        <w:ind w:hanging="0" w:start="0"/>
        <w:rPr/>
      </w:pPr>
      <w:r>
        <w:rPr/>
        <w:t xml:space="preserve">Physical (Example shown is from a Natural Gas template) </w:t>
      </w:r>
    </w:p>
    <w:p>
      <w:pPr>
        <w:pStyle w:val="Normal"/>
        <w:rPr>
          <w:sz w:val="28"/>
          <w:u w:val="single"/>
        </w:rPr>
      </w:pPr>
      <w:r>
        <w:rPr>
          <w:sz w:val="28"/>
          <w:u w:val="single"/>
        </w:rPr>
      </w:r>
    </w:p>
    <w:p>
      <w:pPr>
        <w:pStyle w:val="BodyText"/>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rPr>
          <w:sz w:val="28"/>
        </w:rPr>
      </w:pPr>
      <w:r>
        <w:rPr>
          <w:sz w:val="28"/>
        </w:rPr>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2001-03-28T12:02:00Z</dcterms:created>
  <dc:creator>robert j. bowen</dc:creator>
  <dc:description/>
  <dc:language>en-CA</dc:language>
  <cp:lastModifiedBy>robert j. bowen</cp:lastModifiedBy>
  <dcterms:modified xsi:type="dcterms:W3CDTF">2001-03-28T12:33:00Z</dcterms:modified>
  <cp:revision>5</cp:revision>
  <dc:subject/>
  <dc:title>This Transaction is governed by the EnronOnline General Terms and Conditions ("GTC") that you have accepted via EnronOnline</dc:title>
</cp:coreProperties>
</file>