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b/>
        </w:rPr>
        <w:t>Product Type:</w:t>
        <w:tab/>
        <w:tab/>
        <w:tab/>
        <w:tab/>
        <w:tab/>
      </w:r>
      <w:r>
        <w:rPr>
          <w:rFonts w:cs="Arial" w:ascii="Arial" w:hAnsi="Arial"/>
        </w:rPr>
        <w:tab/>
        <w:t>CAN Gas Fin Swap</w:t>
      </w:r>
    </w:p>
    <w:p>
      <w:pPr>
        <w:pStyle w:val="Normal"/>
        <w:rPr/>
      </w:pPr>
      <w:r>
        <w:rPr>
          <w:rFonts w:cs="Arial" w:ascii="Arial" w:hAnsi="Arial"/>
          <w:b/>
        </w:rPr>
        <w:t>Delivery Frequency:</w:t>
        <w:tab/>
        <w:tab/>
        <w:tab/>
        <w:tab/>
        <w:tab/>
        <w:tab/>
      </w:r>
      <w:r>
        <w:rPr>
          <w:rFonts w:cs="Arial" w:ascii="Arial" w:hAnsi="Arial"/>
        </w:rPr>
        <w:t>Prompt Month</w:t>
      </w:r>
    </w:p>
    <w:p>
      <w:pPr>
        <w:pStyle w:val="Normal"/>
        <w:rPr/>
      </w:pPr>
      <w:r>
        <w:rPr>
          <w:rFonts w:cs="Arial" w:ascii="Arial" w:hAnsi="Arial"/>
          <w:b/>
        </w:rPr>
        <w:t>Enron Entity:</w:t>
        <w:tab/>
        <w:tab/>
        <w:tab/>
        <w:tab/>
        <w:tab/>
        <w:tab/>
        <w:tab/>
      </w:r>
      <w:r>
        <w:rPr>
          <w:rFonts w:cs="Arial" w:ascii="Arial" w:hAnsi="Arial"/>
        </w:rPr>
        <w:t>Enron Canada Corp.</w:t>
      </w:r>
    </w:p>
    <w:p>
      <w:pPr>
        <w:pStyle w:val="Normal"/>
        <w:rPr/>
      </w:pPr>
      <w:r>
        <w:rPr>
          <w:rFonts w:cs="Arial" w:ascii="Arial" w:hAnsi="Arial"/>
          <w:b/>
        </w:rPr>
        <w:t>Region:</w:t>
        <w:tab/>
        <w:tab/>
        <w:tab/>
        <w:tab/>
        <w:tab/>
        <w:tab/>
        <w:tab/>
      </w:r>
      <w:r>
        <w:rPr>
          <w:rFonts w:cs="Arial" w:ascii="Arial" w:hAnsi="Arial"/>
        </w:rPr>
        <w:t>West</w:t>
      </w:r>
    </w:p>
    <w:p>
      <w:pPr>
        <w:pStyle w:val="Normal"/>
        <w:rPr/>
      </w:pPr>
      <w:r>
        <w:rPr>
          <w:rFonts w:cs="Arial" w:ascii="Arial" w:hAnsi="Arial"/>
          <w:b/>
        </w:rPr>
        <w:t>Delivers On:</w:t>
        <w:tab/>
        <w:tab/>
        <w:tab/>
        <w:tab/>
        <w:tab/>
        <w:tab/>
        <w:tab/>
      </w:r>
      <w:r>
        <w:rPr>
          <w:rFonts w:cs="Arial" w:ascii="Arial" w:hAnsi="Arial"/>
        </w:rPr>
        <w:t>All Week</w:t>
      </w:r>
    </w:p>
    <w:p>
      <w:pPr>
        <w:pStyle w:val="Normal"/>
        <w:rPr/>
      </w:pPr>
      <w:r>
        <w:rPr>
          <w:rFonts w:cs="Arial" w:ascii="Arial" w:hAnsi="Arial"/>
          <w:b/>
        </w:rPr>
        <w:t>Index:</w:t>
        <w:tab/>
        <w:tab/>
        <w:tab/>
        <w:tab/>
        <w:tab/>
        <w:tab/>
        <w:tab/>
        <w:tab/>
      </w:r>
      <w:r>
        <w:rPr>
          <w:rFonts w:cs="Arial" w:ascii="Arial" w:hAnsi="Arial"/>
        </w:rPr>
        <w:t>EnronOnline Daily Index</w:t>
      </w:r>
    </w:p>
    <w:p>
      <w:pPr>
        <w:pStyle w:val="Normal"/>
        <w:rPr/>
      </w:pPr>
      <w:r>
        <w:rPr>
          <w:rFonts w:cs="Arial" w:ascii="Arial" w:hAnsi="Arial"/>
          <w:b/>
        </w:rPr>
        <w:t>SITARA/TAGG/ENPOWER Risk Book Assignment:</w:t>
        <w:tab/>
      </w:r>
      <w:r>
        <w:rPr>
          <w:rFonts w:cs="Arial" w:ascii="Arial" w:hAnsi="Arial"/>
        </w:rPr>
        <w:t>EC - IM Canada West</w:t>
      </w:r>
    </w:p>
    <w:p>
      <w:pPr>
        <w:pStyle w:val="Normal"/>
        <w:rPr>
          <w:rFonts w:ascii="Arial" w:hAnsi="Arial" w:cs="Arial"/>
        </w:rPr>
      </w:pPr>
      <w:r>
        <w:rPr>
          <w:rFonts w:cs="Arial" w:ascii="Arial" w:hAnsi="Arial"/>
        </w:rPr>
      </w:r>
    </w:p>
    <w:p>
      <w:pPr>
        <w:pStyle w:val="BodyText"/>
        <w:rPr/>
      </w:pPr>
      <w:r>
        <w:rPr/>
        <w:t>A Canadian gas financial Swap Transaction with Enron Canada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the Floating Price is determinable.  The Floating Price shall be the average of the Index for each day in the relevant Determination Period.</w:t>
      </w:r>
    </w:p>
    <w:p>
      <w:pPr>
        <w:pStyle w:val="Normal"/>
        <w:rPr>
          <w:rFonts w:ascii="Arial" w:hAnsi="Arial" w:cs="Arial"/>
        </w:rPr>
      </w:pPr>
      <w:r>
        <w:rPr>
          <w:rFonts w:cs="Arial" w:ascii="Arial" w:hAnsi="Arial"/>
        </w:rPr>
      </w:r>
    </w:p>
    <w:p>
      <w:pPr>
        <w:pStyle w:val="BodyText"/>
        <w:rPr/>
      </w:pPr>
      <w:r>
        <w:rPr/>
        <w:t>The term of the Transaction shall correspond to the date(s) set forth in the Product description on the Website.</w:t>
      </w:r>
    </w:p>
    <w:p>
      <w:pPr>
        <w:pStyle w:val="Normal"/>
        <w:rPr>
          <w:rFonts w:ascii="Arial" w:hAnsi="Arial" w:cs="Arial"/>
        </w:rPr>
      </w:pPr>
      <w:r>
        <w:rPr>
          <w:rFonts w:cs="Arial" w:ascii="Arial" w:hAnsi="Arial"/>
        </w:rPr>
      </w:r>
    </w:p>
    <w:p>
      <w:pPr>
        <w:pStyle w:val="BodyText"/>
        <w:rPr/>
      </w:pPr>
      <w:r>
        <w:rPr/>
        <w:t>The Index for a month shall be the “Enron Daily Index”, where: “Enron Daily Index” means the weighted average price in Canadian dollars per GJ as published for such day at the end of such day (normally being 4:05 p.m. (MPT)) on EnronOnline (or for Saturdays, Sundays and statutory holidays, at the end of the day on the preceding business day) in the table “EnronOnline Cash Physical External Gas Trades (for Canadian Gas)”, in the column “Weighted Average Price (CAD/GJ)” reported for the applicable day. If a statutory holiday falls on a Monday or a Friday, the Enron Daily Index for such day shall be the Enron Daily Index for the weekend occurring closest to such day.  If a statutory holiday falls on a Tuesday, Wednesday or Thursday, the Enron Daily Index for such day shall be the Enron Daily Index for the previous business day.</w:t>
      </w:r>
    </w:p>
    <w:p>
      <w:pPr>
        <w:pStyle w:val="BodyText"/>
        <w:rPr/>
      </w:pPr>
      <w:r>
        <w:rPr/>
      </w:r>
    </w:p>
    <w:p>
      <w:pPr>
        <w:pStyle w:val="Normal"/>
        <w:rPr>
          <w:rFonts w:ascii="Arial" w:hAnsi="Arial" w:cs="Arial"/>
        </w:rPr>
      </w:pPr>
      <w:r>
        <w:rPr>
          <w:rFonts w:cs="Arial" w:ascii="Arial" w:hAnsi="Arial"/>
        </w:rPr>
        <w:t>The price is quoted in Canadian Dollars per unit of volume, which will be the Contractual Currency.</w:t>
      </w:r>
    </w:p>
    <w:p>
      <w:pPr>
        <w:pStyle w:val="Normal"/>
        <w:rPr>
          <w:rFonts w:ascii="Arial" w:hAnsi="Arial" w:cs="Arial"/>
        </w:rPr>
      </w:pPr>
      <w:r>
        <w:rPr>
          <w:rFonts w:cs="Arial" w:ascii="Arial" w:hAnsi="Arial"/>
        </w:rPr>
      </w:r>
    </w:p>
    <w:p>
      <w:pPr>
        <w:pStyle w:val="BodyText"/>
        <w:rPr/>
      </w:pPr>
      <w:r>
        <w:rPr/>
        <w:t>The unit of measure against which the price is quoted shall be gigajoules and the quantity shown shall be in GJ’s per day.</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 (WN)" w:hAnsi="Univers (WN)" w:eastAsia="Times New Roman" w:cs="Univers (WN)"/>
      <w:color w:val="auto"/>
      <w:sz w:val="22"/>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2001-02-09T14:21:00Z</dcterms:created>
  <dc:creator>dianne seib</dc:creator>
  <dc:description/>
  <dc:language>en-CA</dc:language>
  <cp:lastModifiedBy>dianne seib</cp:lastModifiedBy>
  <cp:lastPrinted>2000-09-19T15:03:00Z</cp:lastPrinted>
  <dcterms:modified xsi:type="dcterms:W3CDTF">2001-02-09T16:01:00Z</dcterms:modified>
  <cp:revision>5</cp:revision>
  <dc:subject/>
  <dc:title>Product Type:</dc:title>
</cp:coreProperties>
</file>