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EnronOnline Broker Client Update</w:t>
      </w:r>
    </w:p>
    <w:p>
      <w:pPr>
        <w:pStyle w:val="Normal"/>
        <w:jc w:val="center"/>
        <w:rPr>
          <w:b/>
          <w:sz w:val="24"/>
        </w:rPr>
      </w:pPr>
      <w:r>
        <w:rPr>
          <w:b/>
          <w:sz w:val="24"/>
        </w:rPr>
        <w:t>November 10, 2000</w:t>
      </w:r>
    </w:p>
    <w:p>
      <w:pPr>
        <w:pStyle w:val="Normal"/>
        <w:rPr>
          <w:b/>
          <w:sz w:val="24"/>
        </w:rPr>
      </w:pPr>
      <w:r>
        <w:rPr>
          <w:b/>
          <w:sz w:val="24"/>
        </w:rPr>
      </w:r>
    </w:p>
    <w:p>
      <w:pPr>
        <w:pStyle w:val="Normal"/>
        <w:rPr>
          <w:b/>
          <w:sz w:val="24"/>
        </w:rPr>
      </w:pPr>
      <w:r>
        <w:rPr>
          <w:b/>
          <w:sz w:val="24"/>
        </w:rPr>
        <w:t>Credit:</w:t>
      </w:r>
    </w:p>
    <w:p>
      <w:pPr>
        <w:pStyle w:val="Normal"/>
        <w:rPr>
          <w:b/>
          <w:sz w:val="24"/>
        </w:rPr>
      </w:pPr>
      <w:r>
        <w:rPr>
          <w:b/>
          <w:sz w:val="24"/>
        </w:rPr>
      </w:r>
    </w:p>
    <w:p>
      <w:pPr>
        <w:pStyle w:val="Normal"/>
        <w:numPr>
          <w:ilvl w:val="0"/>
          <w:numId w:val="5"/>
        </w:numPr>
        <w:rPr>
          <w:sz w:val="24"/>
        </w:rPr>
      </w:pPr>
      <w:r>
        <w:rPr>
          <w:sz w:val="24"/>
        </w:rPr>
        <w:t>EnronOnline will do a intraday credit check on both broker and customer</w:t>
      </w:r>
    </w:p>
    <w:p>
      <w:pPr>
        <w:pStyle w:val="Normal"/>
        <w:numPr>
          <w:ilvl w:val="0"/>
          <w:numId w:val="5"/>
        </w:numPr>
        <w:rPr>
          <w:sz w:val="24"/>
        </w:rPr>
      </w:pPr>
      <w:r>
        <w:rPr>
          <w:sz w:val="24"/>
        </w:rPr>
        <w:t>Credit will maintain headroom in EnronOnline based upon security supplied by broker.  Headroom does not need to be a one to one correlation with the security supplied.  Headroom should be a function of the risk of broker error versus the actual market exposure (he larger the level of security the bigger the headroom).  Bob will work with energy operations to provide insight on the percentage of broker error versus number of broker transactions.</w:t>
      </w:r>
    </w:p>
    <w:p>
      <w:pPr>
        <w:pStyle w:val="Normal"/>
        <w:numPr>
          <w:ilvl w:val="0"/>
          <w:numId w:val="5"/>
        </w:numPr>
        <w:rPr>
          <w:sz w:val="24"/>
        </w:rPr>
      </w:pPr>
      <w:r>
        <w:rPr>
          <w:sz w:val="24"/>
        </w:rPr>
        <w:t>Credit will monitor three day risk using report generated by EnronOnline (trailing 3 day broker trades: sigma * vol)</w:t>
      </w:r>
    </w:p>
    <w:p>
      <w:pPr>
        <w:pStyle w:val="Normal"/>
        <w:numPr>
          <w:ilvl w:val="0"/>
          <w:numId w:val="5"/>
        </w:numPr>
        <w:rPr>
          <w:sz w:val="24"/>
        </w:rPr>
      </w:pPr>
      <w:r>
        <w:rPr>
          <w:sz w:val="24"/>
        </w:rPr>
        <w:t>Losses resulting from broker error are not credit losses and will be charged against trading books</w:t>
      </w:r>
    </w:p>
    <w:p>
      <w:pPr>
        <w:pStyle w:val="Normal"/>
        <w:numPr>
          <w:ilvl w:val="0"/>
          <w:numId w:val="5"/>
        </w:numPr>
        <w:rPr>
          <w:sz w:val="24"/>
        </w:rPr>
      </w:pPr>
      <w:r>
        <w:rPr>
          <w:sz w:val="24"/>
        </w:rPr>
        <w:t xml:space="preserve">Security issued by the broker will serve as a limit to the broker’s exposure. </w:t>
        <w:br/>
      </w:r>
    </w:p>
    <w:p>
      <w:pPr>
        <w:pStyle w:val="Heading2"/>
        <w:ind w:hanging="0" w:start="0"/>
        <w:rPr/>
      </w:pPr>
      <w:r>
        <w:rPr/>
        <w:t>Legal</w:t>
      </w:r>
    </w:p>
    <w:p>
      <w:pPr>
        <w:pStyle w:val="Normal"/>
        <w:rPr>
          <w:sz w:val="24"/>
        </w:rPr>
      </w:pPr>
      <w:r>
        <w:rPr>
          <w:sz w:val="24"/>
        </w:rPr>
      </w:r>
    </w:p>
    <w:p>
      <w:pPr>
        <w:pStyle w:val="Normal"/>
        <w:numPr>
          <w:ilvl w:val="0"/>
          <w:numId w:val="2"/>
        </w:numPr>
        <w:rPr>
          <w:sz w:val="24"/>
        </w:rPr>
      </w:pPr>
      <w:r>
        <w:rPr>
          <w:sz w:val="24"/>
        </w:rPr>
        <w:t>Broker obligation for losses becomes silent after 3 days</w:t>
      </w:r>
    </w:p>
    <w:p>
      <w:pPr>
        <w:pStyle w:val="Normal"/>
        <w:numPr>
          <w:ilvl w:val="0"/>
          <w:numId w:val="2"/>
        </w:numPr>
        <w:rPr>
          <w:sz w:val="24"/>
        </w:rPr>
      </w:pPr>
      <w:r>
        <w:rPr>
          <w:sz w:val="24"/>
        </w:rPr>
        <w:t>Broker is obligated to confirm daily</w:t>
      </w:r>
    </w:p>
    <w:p>
      <w:pPr>
        <w:pStyle w:val="Normal"/>
        <w:numPr>
          <w:ilvl w:val="0"/>
          <w:numId w:val="2"/>
        </w:numPr>
        <w:rPr>
          <w:sz w:val="24"/>
        </w:rPr>
      </w:pPr>
      <w:r>
        <w:rPr>
          <w:sz w:val="24"/>
        </w:rPr>
        <w:t>Enron in its sole opinion can adjust the headroom to any level including $0.  Broker will continue to see prices if the headroom is adjusted to $0 but will not be able to transact online.</w:t>
      </w:r>
    </w:p>
    <w:p>
      <w:pPr>
        <w:pStyle w:val="Normal"/>
        <w:numPr>
          <w:ilvl w:val="0"/>
          <w:numId w:val="2"/>
        </w:numPr>
        <w:rPr>
          <w:sz w:val="24"/>
        </w:rPr>
      </w:pPr>
      <w:r>
        <w:rPr>
          <w:sz w:val="24"/>
        </w:rPr>
        <w:t>Enron in its sole opinion may take away the brokers access to EnronOnline.  If Enron takes such access away, Broker will receive a pro rata license fee refund.</w:t>
      </w:r>
    </w:p>
    <w:p>
      <w:pPr>
        <w:pStyle w:val="Normal"/>
        <w:numPr>
          <w:ilvl w:val="0"/>
          <w:numId w:val="2"/>
        </w:numPr>
        <w:rPr>
          <w:sz w:val="24"/>
        </w:rPr>
      </w:pPr>
      <w:r>
        <w:rPr>
          <w:sz w:val="24"/>
        </w:rPr>
        <w:t>Broker will acknowledge that they will only enter into a transaction on EnronOnline if they have a voice confirmed Counterparty transaction</w:t>
      </w:r>
    </w:p>
    <w:p>
      <w:pPr>
        <w:pStyle w:val="Normal"/>
        <w:numPr>
          <w:ilvl w:val="0"/>
          <w:numId w:val="2"/>
        </w:numPr>
        <w:rPr>
          <w:sz w:val="24"/>
        </w:rPr>
      </w:pPr>
      <w:r>
        <w:rPr>
          <w:sz w:val="24"/>
        </w:rPr>
        <w:t>Broker will maintain recorded conversation as verification of Counterparty transactions</w:t>
      </w:r>
    </w:p>
    <w:p>
      <w:pPr>
        <w:pStyle w:val="Normal"/>
        <w:numPr>
          <w:ilvl w:val="0"/>
          <w:numId w:val="2"/>
        </w:numPr>
        <w:rPr>
          <w:sz w:val="24"/>
        </w:rPr>
      </w:pPr>
      <w:r>
        <w:rPr>
          <w:sz w:val="24"/>
        </w:rPr>
        <w:t>Broker agreements will reference anticipated counterparty obligation similar to GTC and incorporate liquidated damages inherent in the GTC into broker obligation</w:t>
      </w:r>
    </w:p>
    <w:p>
      <w:pPr>
        <w:pStyle w:val="Normal"/>
        <w:numPr>
          <w:ilvl w:val="0"/>
          <w:numId w:val="2"/>
        </w:numPr>
        <w:rPr>
          <w:sz w:val="24"/>
        </w:rPr>
      </w:pPr>
      <w:r>
        <w:rPr>
          <w:sz w:val="24"/>
        </w:rPr>
        <w:t>Brokers must notify trader immediately of any errors</w:t>
      </w:r>
    </w:p>
    <w:p>
      <w:pPr>
        <w:pStyle w:val="Normal"/>
        <w:numPr>
          <w:ilvl w:val="0"/>
          <w:numId w:val="2"/>
        </w:numPr>
        <w:rPr>
          <w:sz w:val="24"/>
        </w:rPr>
      </w:pPr>
      <w:r>
        <w:rPr>
          <w:sz w:val="24"/>
        </w:rPr>
        <w:t>Broker is responsible for maintaining appropriate internal controls</w:t>
      </w:r>
    </w:p>
    <w:p>
      <w:pPr>
        <w:pStyle w:val="Normal"/>
        <w:numPr>
          <w:ilvl w:val="0"/>
          <w:numId w:val="2"/>
        </w:numPr>
        <w:rPr>
          <w:sz w:val="24"/>
        </w:rPr>
      </w:pPr>
      <w:r>
        <w:rPr>
          <w:sz w:val="24"/>
        </w:rPr>
        <w:t>Enron can use Broker receivables as security in the event of broker transaction errors.</w:t>
      </w:r>
    </w:p>
    <w:p>
      <w:pPr>
        <w:pStyle w:val="Normal"/>
        <w:rPr>
          <w:sz w:val="24"/>
        </w:rPr>
      </w:pPr>
      <w:r>
        <w:rPr>
          <w:sz w:val="24"/>
        </w:rPr>
        <w:br/>
      </w:r>
    </w:p>
    <w:p>
      <w:pPr>
        <w:pStyle w:val="Heading2"/>
        <w:ind w:hanging="0" w:start="0"/>
        <w:rPr/>
      </w:pPr>
      <w:r>
        <w:rPr/>
        <w:t>IT</w:t>
      </w:r>
    </w:p>
    <w:p>
      <w:pPr>
        <w:pStyle w:val="Normal"/>
        <w:rPr>
          <w:sz w:val="24"/>
        </w:rPr>
      </w:pPr>
      <w:r>
        <w:rPr>
          <w:sz w:val="24"/>
        </w:rPr>
      </w:r>
    </w:p>
    <w:p>
      <w:pPr>
        <w:pStyle w:val="Normal"/>
        <w:numPr>
          <w:ilvl w:val="0"/>
          <w:numId w:val="3"/>
        </w:numPr>
        <w:rPr>
          <w:sz w:val="24"/>
        </w:rPr>
      </w:pPr>
      <w:r>
        <w:rPr>
          <w:sz w:val="24"/>
        </w:rPr>
        <w:t>Sections 2.1.1, 2.1.2 and 2.1.13 in the attached Requirements, analysis and Use Cases are in the design phase.</w:t>
      </w:r>
    </w:p>
    <w:p>
      <w:pPr>
        <w:pStyle w:val="Normal"/>
        <w:numPr>
          <w:ilvl w:val="0"/>
          <w:numId w:val="3"/>
        </w:numPr>
        <w:rPr>
          <w:sz w:val="24"/>
        </w:rPr>
      </w:pPr>
      <w:r>
        <w:rPr>
          <w:sz w:val="24"/>
        </w:rPr>
        <w:t>Other sections will begin after completion of Options.</w:t>
      </w:r>
    </w:p>
    <w:p>
      <w:pPr>
        <w:pStyle w:val="Normal"/>
        <w:numPr>
          <w:ilvl w:val="0"/>
          <w:numId w:val="3"/>
        </w:numPr>
        <w:rPr>
          <w:sz w:val="24"/>
        </w:rPr>
      </w:pPr>
      <w:r>
        <w:rPr>
          <w:sz w:val="24"/>
        </w:rPr>
        <w:t>Detailed documentation of functional specs is being finalized.</w:t>
        <w:br/>
      </w:r>
    </w:p>
    <w:p>
      <w:pPr>
        <w:pStyle w:val="Normal"/>
        <w:rPr>
          <w:sz w:val="24"/>
        </w:rPr>
      </w:pPr>
      <w:r>
        <w:rPr>
          <w:sz w:val="24"/>
        </w:rPr>
        <w:t xml:space="preserve"> </w:t>
      </w:r>
      <w:r>
        <w:rPr>
          <w:b/>
          <w:sz w:val="24"/>
        </w:rPr>
        <w:t>Confirmations</w:t>
        <w:br/>
      </w:r>
    </w:p>
    <w:p>
      <w:pPr>
        <w:pStyle w:val="Normal"/>
        <w:numPr>
          <w:ilvl w:val="0"/>
          <w:numId w:val="4"/>
        </w:numPr>
        <w:rPr>
          <w:sz w:val="24"/>
        </w:rPr>
      </w:pPr>
      <w:r>
        <w:rPr>
          <w:sz w:val="24"/>
        </w:rPr>
        <w:t>Confirmations will notify credit immediately of any broker errors or disputes</w:t>
      </w:r>
    </w:p>
    <w:p>
      <w:pPr>
        <w:pStyle w:val="Normal"/>
        <w:numPr>
          <w:ilvl w:val="0"/>
          <w:numId w:val="4"/>
        </w:numPr>
        <w:rPr>
          <w:sz w:val="24"/>
        </w:rPr>
      </w:pPr>
      <w:r>
        <w:rPr>
          <w:sz w:val="24"/>
        </w:rPr>
        <w:t>Confirmations will check out with the  broker daily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2000-11-10T21:03:00Z</dcterms:created>
  <dc:creator>rshults</dc:creator>
  <dc:description/>
  <dc:language>en-CA</dc:language>
  <cp:lastModifiedBy>rshults</cp:lastModifiedBy>
  <cp:lastPrinted>2000-11-10T10:27:00Z</cp:lastPrinted>
  <dcterms:modified xsi:type="dcterms:W3CDTF">2000-11-10T21:04:00Z</dcterms:modified>
  <cp:revision>3</cp:revision>
  <dc:subject/>
  <dc:title>EnronOnline Broker Client Update</dc:title>
</cp:coreProperties>
</file>