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b/>
          <w:sz w:val="22"/>
          <w:u w:val="single"/>
        </w:rPr>
      </w:pPr>
      <w:r>
        <w:rPr>
          <w:b/>
          <w:sz w:val="22"/>
          <w:u w:val="single"/>
        </w:rPr>
        <w:t>00/1/21 TLM  Re – Draft  of Enron</w:t>
      </w:r>
    </w:p>
    <w:p>
      <w:pPr>
        <w:pStyle w:val="Normal"/>
        <w:jc w:val="center"/>
        <w:rPr>
          <w:b/>
          <w:sz w:val="22"/>
          <w:u w:val="single"/>
        </w:rPr>
      </w:pPr>
      <w:r>
        <w:rPr>
          <w:b/>
          <w:sz w:val="22"/>
          <w:u w:val="single"/>
        </w:rPr>
      </w:r>
    </w:p>
    <w:p>
      <w:pPr>
        <w:pStyle w:val="Normal"/>
        <w:jc w:val="center"/>
        <w:rPr>
          <w:b/>
          <w:sz w:val="22"/>
        </w:rPr>
      </w:pPr>
      <w:r>
        <w:rPr>
          <w:b/>
          <w:sz w:val="22"/>
        </w:rPr>
        <w:t>ELECTRONIC TRADING AGREEMENT</w:t>
      </w:r>
    </w:p>
    <w:p>
      <w:pPr>
        <w:pStyle w:val="Normal"/>
        <w:tabs>
          <w:tab w:val="left" w:pos="720" w:leader="none"/>
          <w:tab w:val="left" w:pos="1440" w:leader="none"/>
          <w:tab w:val="left" w:pos="2160" w:leader="none"/>
          <w:tab w:val="left" w:pos="4320" w:leader="none"/>
        </w:tabs>
        <w:suppressAutoHyphens w:val="true"/>
        <w:rPr/>
      </w:pPr>
      <w:r>
        <w:rPr>
          <w:b/>
          <w:spacing w:val="-3"/>
          <w:sz w:val="22"/>
        </w:rPr>
        <w:t xml:space="preserve">THIS AGREEMENT </w:t>
      </w:r>
      <w:r>
        <w:rPr>
          <w:spacing w:val="-3"/>
          <w:sz w:val="22"/>
        </w:rPr>
        <w:t xml:space="preserve">is made effective this </w:t>
      </w:r>
      <w:r>
        <w:fldChar w:fldCharType="begin"/>
      </w:r>
      <w:r>
        <w:rPr>
          <w:sz w:val="22"/>
          <w:spacing w:val="-3"/>
        </w:rPr>
        <w:instrText xml:space="preserve"> AgreementDate \*charformat </w:instrText>
      </w:r>
      <w:r>
        <w:rPr>
          <w:spacing w:val="-3"/>
          <w:sz w:val="22"/>
        </w:rPr>
      </w:r>
      <w:r>
        <w:rPr>
          <w:sz w:val="22"/>
          <w:spacing w:val="-3"/>
        </w:rPr>
        <w:fldChar w:fldCharType="separate"/>
      </w:r>
      <w:r>
        <w:rPr>
          <w:spacing w:val="-3"/>
          <w:sz w:val="22"/>
        </w:rPr>
        <w:t>1st day of November, 199?</w:t>
      </w:r>
      <w:r>
        <w:rPr>
          <w:spacing w:val="-3"/>
          <w:sz w:val="22"/>
        </w:rPr>
      </w:r>
      <w:r>
        <w:rPr>
          <w:sz w:val="22"/>
          <w:spacing w:val="-3"/>
        </w:rPr>
        <w:fldChar w:fldCharType="end"/>
      </w:r>
      <w:r>
        <w:rPr>
          <w:spacing w:val="-3"/>
          <w:sz w:val="22"/>
        </w:rPr>
        <w:t xml:space="preserve">  (the "Effective Date").</w:t>
      </w:r>
    </w:p>
    <w:p>
      <w:pPr>
        <w:pStyle w:val="Normal"/>
        <w:tabs>
          <w:tab w:val="left" w:pos="720" w:leader="none"/>
          <w:tab w:val="left" w:pos="1440" w:leader="none"/>
          <w:tab w:val="left" w:pos="2160" w:leader="none"/>
          <w:tab w:val="left" w:pos="4320" w:leader="none"/>
        </w:tabs>
        <w:suppressAutoHyphens w:val="true"/>
        <w:rPr>
          <w:b/>
          <w:spacing w:val="-3"/>
          <w:sz w:val="22"/>
        </w:rPr>
      </w:pPr>
      <w:r>
        <w:rPr>
          <w:b/>
          <w:spacing w:val="-3"/>
          <w:sz w:val="22"/>
        </w:rPr>
        <w:t>B E T W E E N:</w:t>
      </w:r>
    </w:p>
    <w:p>
      <w:pPr>
        <w:pStyle w:val="Normal"/>
        <w:tabs>
          <w:tab w:val="left" w:pos="720" w:leader="none"/>
          <w:tab w:val="left" w:pos="1440" w:leader="none"/>
          <w:tab w:val="left" w:pos="2160" w:leader="none"/>
          <w:tab w:val="left" w:pos="4320" w:leader="none"/>
        </w:tabs>
        <w:suppressAutoHyphens w:val="true"/>
        <w:rPr>
          <w:b/>
          <w:spacing w:val="-3"/>
          <w:sz w:val="22"/>
        </w:rPr>
      </w:pPr>
      <w:r>
        <w:rPr>
          <w:b/>
          <w:spacing w:val="-3"/>
          <w:sz w:val="22"/>
        </w:rPr>
      </w:r>
    </w:p>
    <w:p>
      <w:pPr>
        <w:pStyle w:val="Normal"/>
        <w:tabs>
          <w:tab w:val="left" w:pos="720" w:leader="none"/>
          <w:tab w:val="left" w:pos="1440" w:leader="none"/>
          <w:tab w:val="left" w:pos="2160" w:leader="none"/>
          <w:tab w:val="left" w:pos="4320" w:leader="none"/>
        </w:tabs>
        <w:suppressAutoHyphens w:val="true"/>
        <w:ind w:start="2160" w:end="2160"/>
        <w:rPr/>
      </w:pPr>
      <w:r>
        <w:rPr>
          <w:b/>
          <w:caps/>
          <w:spacing w:val="-3"/>
          <w:sz w:val="22"/>
        </w:rPr>
        <w:t>Talisman Energy Inc.</w:t>
      </w:r>
      <w:r>
        <w:rPr>
          <w:caps/>
          <w:spacing w:val="-3"/>
          <w:sz w:val="22"/>
        </w:rPr>
        <w:t>,</w:t>
      </w:r>
      <w:r>
        <w:rPr>
          <w:spacing w:val="-3"/>
          <w:sz w:val="22"/>
        </w:rPr>
        <w:t xml:space="preserve"> a body corporate, with offices in Calgary, Alberta (hereinafter referred to as "Talisman")</w:t>
      </w:r>
    </w:p>
    <w:p>
      <w:pPr>
        <w:pStyle w:val="Normal"/>
        <w:tabs>
          <w:tab w:val="left" w:pos="720" w:leader="none"/>
          <w:tab w:val="left" w:pos="1440" w:leader="none"/>
          <w:tab w:val="left" w:pos="2160" w:leader="none"/>
          <w:tab w:val="left" w:pos="4320" w:leader="none"/>
        </w:tabs>
        <w:suppressAutoHyphens w:val="true"/>
        <w:ind w:start="2160" w:end="2160"/>
        <w:jc w:val="center"/>
        <w:rPr>
          <w:spacing w:val="-3"/>
          <w:sz w:val="22"/>
        </w:rPr>
      </w:pPr>
      <w:r>
        <w:rPr>
          <w:spacing w:val="-3"/>
          <w:sz w:val="22"/>
        </w:rPr>
        <w:t>and</w:t>
      </w:r>
    </w:p>
    <w:p>
      <w:pPr>
        <w:pStyle w:val="Normal"/>
        <w:tabs>
          <w:tab w:val="left" w:pos="720" w:leader="none"/>
          <w:tab w:val="left" w:pos="1440" w:leader="none"/>
          <w:tab w:val="left" w:pos="2160" w:leader="none"/>
          <w:tab w:val="left" w:pos="4320" w:leader="none"/>
        </w:tabs>
        <w:suppressAutoHyphens w:val="true"/>
        <w:ind w:start="2160" w:end="2160"/>
        <w:jc w:val="start"/>
        <w:rPr/>
      </w:pPr>
      <w:r>
        <w:fldChar w:fldCharType="begin"/>
      </w:r>
      <w:r>
        <w:rPr>
          <w:sz w:val="22"/>
          <w:spacing w:val="-3"/>
          <w:b/>
        </w:rPr>
        <w:instrText xml:space="preserve"> Counterparty \*upper\*charformat </w:instrText>
      </w:r>
      <w:r>
        <w:rPr>
          <w:b/>
          <w:spacing w:val="-3"/>
          <w:sz w:val="22"/>
        </w:rPr>
      </w:r>
      <w:r>
        <w:rPr>
          <w:sz w:val="22"/>
          <w:spacing w:val="-3"/>
          <w:b/>
        </w:rPr>
        <w:fldChar w:fldCharType="separate"/>
      </w:r>
      <w:r>
        <w:rPr>
          <w:b/>
          <w:spacing w:val="-3"/>
          <w:sz w:val="22"/>
        </w:rPr>
        <w:t>ENRON CAPITAL &amp; TRADE RESOURCES CANADA CORP.</w:t>
      </w:r>
      <w:r>
        <w:rPr>
          <w:b/>
          <w:spacing w:val="-3"/>
          <w:sz w:val="22"/>
        </w:rPr>
      </w:r>
      <w:r>
        <w:rPr>
          <w:sz w:val="22"/>
          <w:spacing w:val="-3"/>
          <w:b/>
        </w:rPr>
        <w:fldChar w:fldCharType="end"/>
      </w:r>
      <w:r>
        <w:rPr>
          <w:b/>
          <w:spacing w:val="-3"/>
          <w:sz w:val="22"/>
        </w:rPr>
        <w:t>,</w:t>
      </w:r>
      <w:r>
        <w:rPr>
          <w:spacing w:val="-3"/>
          <w:sz w:val="22"/>
        </w:rPr>
        <w:t xml:space="preserve"> a body corporate, with  offices in the city of Calgary, Alberta </w:t>
      </w:r>
    </w:p>
    <w:p>
      <w:pPr>
        <w:pStyle w:val="Normal"/>
        <w:tabs>
          <w:tab w:val="left" w:pos="720" w:leader="none"/>
          <w:tab w:val="left" w:pos="1440" w:leader="none"/>
          <w:tab w:val="left" w:pos="2160" w:leader="none"/>
          <w:tab w:val="left" w:pos="4320" w:leader="none"/>
        </w:tabs>
        <w:suppressAutoHyphens w:val="true"/>
        <w:rPr>
          <w:spacing w:val="-3"/>
          <w:sz w:val="22"/>
        </w:rPr>
      </w:pPr>
      <w:r>
        <w:rPr>
          <w:spacing w:val="-3"/>
          <w:sz w:val="22"/>
        </w:rPr>
      </w:r>
    </w:p>
    <w:p>
      <w:pPr>
        <w:pStyle w:val="BodyText"/>
        <w:rPr/>
      </w:pPr>
      <w:r>
        <w:rPr>
          <w:rFonts w:cs="Times New Roman" w:ascii="Times New Roman" w:hAnsi="Times New Roman"/>
          <w:sz w:val="22"/>
          <w:lang w:val="en-GB"/>
        </w:rPr>
        <w:tab/>
        <w:t xml:space="preserve">Talisman and </w:t>
      </w:r>
      <w:r>
        <w:fldChar w:fldCharType="begin"/>
      </w:r>
      <w:r>
        <w:rPr>
          <w:sz w:val="22"/>
          <w:spacing w:val="-3"/>
          <w:rFonts w:cs="Times New Roman" w:ascii="Times New Roman" w:hAnsi="Times New Roman"/>
          <w:lang w:val="en-GB"/>
        </w:rPr>
        <w:instrText xml:space="preserve"> Counterpartyshort \*upper \*Charformat </w:instrText>
      </w:r>
      <w:r>
        <w:rPr>
          <w:rFonts w:cs="Times New Roman" w:ascii="Times New Roman" w:hAnsi="Times New Roman"/>
          <w:spacing w:val="-3"/>
          <w:sz w:val="22"/>
          <w:lang w:val="en-GB"/>
        </w:rPr>
      </w:r>
      <w:r>
        <w:rPr>
          <w:sz w:val="22"/>
          <w:spacing w:val="-3"/>
          <w:rFonts w:cs="Times New Roman" w:ascii="Times New Roman" w:hAnsi="Times New Roman"/>
          <w:lang w:val="en-GB"/>
        </w:rPr>
        <w:fldChar w:fldCharType="separate"/>
      </w:r>
      <w:r>
        <w:rPr>
          <w:rFonts w:cs="Times New Roman" w:ascii="Times New Roman" w:hAnsi="Times New Roman"/>
          <w:spacing w:val="-3"/>
          <w:sz w:val="22"/>
          <w:lang w:val="en-GB"/>
        </w:rPr>
        <w:t>ENRON</w:t>
      </w:r>
      <w:r>
        <w:rPr>
          <w:rFonts w:cs="Times New Roman" w:ascii="Times New Roman" w:hAnsi="Times New Roman"/>
          <w:spacing w:val="-3"/>
          <w:sz w:val="22"/>
          <w:lang w:val="en-GB"/>
        </w:rPr>
      </w:r>
      <w:r>
        <w:rPr>
          <w:sz w:val="22"/>
          <w:spacing w:val="-3"/>
          <w:rFonts w:cs="Times New Roman" w:ascii="Times New Roman" w:hAnsi="Times New Roman"/>
          <w:lang w:val="en-GB"/>
        </w:rPr>
        <w:fldChar w:fldCharType="end"/>
      </w:r>
      <w:r>
        <w:rPr>
          <w:rFonts w:cs="Times New Roman" w:ascii="Times New Roman" w:hAnsi="Times New Roman"/>
          <w:sz w:val="22"/>
          <w:lang w:val="en-GB"/>
        </w:rPr>
        <w:t xml:space="preserve"> are sometimes hereinafter referred to separately as ‘Party’ and jointly as ‘Parties’.</w:t>
      </w:r>
    </w:p>
    <w:p>
      <w:pPr>
        <w:pStyle w:val="Normal"/>
        <w:jc w:val="center"/>
        <w:rPr>
          <w:rFonts w:ascii="Times New Roman" w:hAnsi="Times New Roman" w:cs="Times New Roman"/>
          <w:b/>
          <w:sz w:val="22"/>
          <w:lang w:val="en-GB"/>
        </w:rPr>
      </w:pPr>
      <w:r>
        <w:rPr>
          <w:rFonts w:cs="Times New Roman"/>
          <w:b/>
          <w:sz w:val="22"/>
          <w:lang w:val="en-GB"/>
        </w:rPr>
      </w:r>
    </w:p>
    <w:p>
      <w:pPr>
        <w:pStyle w:val="Normal"/>
        <w:jc w:val="center"/>
        <w:rPr>
          <w:b/>
          <w:sz w:val="22"/>
        </w:rPr>
      </w:pPr>
      <w:r>
        <w:rPr>
          <w:b/>
          <w:sz w:val="22"/>
        </w:rPr>
      </w:r>
    </w:p>
    <w:p>
      <w:pPr>
        <w:pStyle w:val="Normal"/>
        <w:rPr>
          <w:sz w:val="22"/>
        </w:rPr>
      </w:pPr>
      <w:r>
        <w:rPr>
          <w:sz w:val="22"/>
        </w:rPr>
        <w:t xml:space="preserve">WHEREAS, Enron Capital &amp; Trade Resources Canada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rPr>
          <w:sz w:val="22"/>
        </w:rPr>
      </w:pPr>
      <w:r>
        <w:rPr>
          <w:sz w:val="22"/>
        </w:rPr>
        <w:t>WHEREAS, Talisman and Enron have entered into a Password Application ("Password Application"), pursuant to which Enron has agreed to provide Talisman with access to the Website and Talisman has agreed to access and utilize the Website solely in accordance with the terms and conditions of the Password Application and this Agreement.</w:t>
      </w:r>
    </w:p>
    <w:p>
      <w:pPr>
        <w:pStyle w:val="Normal"/>
        <w:rPr>
          <w:sz w:val="22"/>
        </w:rPr>
      </w:pPr>
      <w:r>
        <w:rPr>
          <w:sz w:val="22"/>
        </w:rPr>
        <w:t>NOW, THEREFORE, for good and valuable consideration, the receipt and adequacy of which are hereby acknowledged, the parties hereby agree as follows:</w:t>
      </w:r>
    </w:p>
    <w:p>
      <w:pPr>
        <w:pStyle w:val="Normal"/>
        <w:numPr>
          <w:ilvl w:val="0"/>
          <w:numId w:val="4"/>
        </w:numPr>
        <w:ind w:hanging="0" w:start="0" w:end="0"/>
        <w:rPr>
          <w:sz w:val="22"/>
        </w:rPr>
      </w:pPr>
      <w:r>
        <w:rPr>
          <w:b/>
          <w:sz w:val="22"/>
          <w:u w:val="single"/>
        </w:rPr>
        <w:t>SCOPE OF AGREEMENT.</w:t>
      </w:r>
      <w:r>
        <w:rPr>
          <w:sz w:val="22"/>
        </w:rPr>
        <w:t xml:space="preserve"> Enron and Talisman hereby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This Agreement (taken together, where applicable, with   the Master Gas Purchase/Sale Agreement dated ---------------------  between the Parties (the "Master") will govern the access and utilization of the Website and any and all Transactions entered into by Talisman through the Website  </w:t>
        <w:br/>
        <w:br/>
      </w:r>
      <w:r>
        <w:rPr>
          <w:rStyle w:val="CommentReference"/>
          <w:vanish w:val="false"/>
          <w:sz w:val="22"/>
        </w:rPr>
        <w:commentReference w:id="0"/>
      </w:r>
      <w:r>
        <w:rPr>
          <w:sz w:val="22"/>
        </w:rPr>
        <w:t>.</w:t>
        <w:br/>
      </w:r>
    </w:p>
    <w:p>
      <w:pPr>
        <w:pStyle w:val="Normal"/>
        <w:rPr/>
      </w:pPr>
      <w:r>
        <w:rPr>
          <w:b/>
          <w:sz w:val="22"/>
        </w:rPr>
        <w:t>2.</w:t>
        <w:tab/>
      </w:r>
      <w:r>
        <w:rPr>
          <w:b/>
          <w:sz w:val="22"/>
          <w:u w:val="single"/>
        </w:rPr>
        <w:t>REPRESENTATIONS, WARRANTIES AND COVENANTS.</w:t>
      </w:r>
      <w:r>
        <w:rPr>
          <w:sz w:val="22"/>
        </w:rPr>
        <w:t xml:space="preserve"> Talisman hereby represents, warrants and covenants as follows:</w:t>
      </w:r>
    </w:p>
    <w:p>
      <w:pPr>
        <w:pStyle w:val="Normal"/>
        <w:rPr/>
      </w:pPr>
      <w:r>
        <w:rPr>
          <w:sz w:val="22"/>
        </w:rPr>
        <w:t>(a)</w:t>
        <w:tab/>
        <w:t xml:space="preserve">Talisman will access and utilize the Website (including but not limited to the execution of Transactions) solely for its own internal business and commercial purposes and in accordance with the terms and conditions of this </w:t>
      </w:r>
      <w:commentRangeStart w:id="1"/>
      <w:r>
        <w:rPr>
          <w:sz w:val="22"/>
        </w:rPr>
        <w:t xml:space="preserve">  </w:t>
      </w:r>
      <w:r>
        <w:rPr>
          <w:rStyle w:val="CommentReference"/>
          <w:vanish w:val="false"/>
          <w:sz w:val="22"/>
        </w:rPr>
      </w:r>
      <w:commentRangeEnd w:id="1"/>
      <w:r>
        <w:commentReference w:id="1"/>
      </w:r>
      <w:r>
        <w:rPr>
          <w:sz w:val="22"/>
        </w:rPr>
        <w:t xml:space="preserve">Agreement.    Talisman acknowledges that the Website is the exclusive and proprietary property of Enron, and that Talisman shall have no rights with respect thereto. Talisman agrees to respect the proprietary rights of Enron in the Website and Talisman shall comply with reasonable requests made by Enron to protect such rights. </w:t>
      </w:r>
    </w:p>
    <w:p>
      <w:pPr>
        <w:pStyle w:val="Normal"/>
        <w:rPr>
          <w:sz w:val="22"/>
        </w:rPr>
      </w:pPr>
      <w:r>
        <w:rPr>
          <w:sz w:val="22"/>
        </w:rPr>
        <w:t>(b)</w:t>
        <w:tab/>
        <w:t>Enron may, in its sole discretion (which must be reasonable), with or without notice to Talisman, temporarily or permanently cease to provide the Website or suspend, terminate or restrict Talisman’s access to and utilization of the Website. Talisman shall supply Enron with all information reasonably requested by Enron      which is applicable to Talisman's use of the Website. Talisman acknowledges that its access to and utilization of the Website may be monitored by Enron for Enron’s own purposes, and not for the benefit of Talisman, and that the resultant information may be utilized by  Enron.  Enron agrees to provide Talisman, at Talisman's request, access to any and all records, electronic or otherwise, applicable to Talisman's use of the Website hereunder.</w:t>
      </w:r>
    </w:p>
    <w:p>
      <w:pPr>
        <w:pStyle w:val="Normal"/>
        <w:rPr>
          <w:sz w:val="22"/>
        </w:rPr>
      </w:pPr>
      <w:r>
        <w:rPr>
          <w:sz w:val="22"/>
        </w:rPr>
        <w:t>(c)</w:t>
        <w:tab/>
        <w:t>The Parties shall comply with any and all laws, rules, regulations or orders applicable to Talisman’s access to and use of the Website, and Enron's establishment, use and operation of the Website.</w:t>
      </w:r>
    </w:p>
    <w:p>
      <w:pPr>
        <w:pStyle w:val="Normal"/>
        <w:rPr>
          <w:sz w:val="22"/>
        </w:rPr>
      </w:pPr>
      <w:r>
        <w:rPr>
          <w:sz w:val="22"/>
        </w:rPr>
        <w:t>(d)</w:t>
        <w:tab/>
        <w:t>The Parties have all necessary power and authority to execute and perform this Agreement and this Agreement is its legal, valid and binding agreement, enforceable against the Parties in accordance with its terms. Neither the execution of or performance under this Agreement by  the Parties  violates any law, rule, regulation or order, or any agreement, document or instrument, binding on or applicable to the Parties. Talisman agrees that any Transactions executed hereunder will be deemed to be Transactions under the  Master.  Talisman will not contest the legally binding nature, validity or enforceability of this Agreement or any Transaction executed through the Website based on the fact that a Transaction has been executed by "clicking" on the designated spaces by Talisman and Talisman and Enron have electronic notice of Enron acceptance of Talisman offer made by the "click" and expressly waives any and all rights it may have to assert any such claim.</w:t>
      </w:r>
    </w:p>
    <w:p>
      <w:pPr>
        <w:pStyle w:val="Normal"/>
        <w:numPr>
          <w:ilvl w:val="0"/>
          <w:numId w:val="2"/>
        </w:numPr>
        <w:rPr>
          <w:sz w:val="22"/>
        </w:rPr>
      </w:pPr>
      <w:r>
        <w:rPr>
          <w:sz w:val="22"/>
        </w:rPr>
        <w:t xml:space="preserve">Talisman has reviewed and understands the procedures established by Enron as of the date of signing this Agreement with respect to the execution of Transactions and agrees to comply with such procedures  in connection with such Transactions     </w:t>
      </w:r>
      <w:r>
        <w:rPr>
          <w:rStyle w:val="CommentReference"/>
          <w:vanish w:val="false"/>
          <w:sz w:val="22"/>
        </w:rPr>
        <w:commentReference w:id="2"/>
      </w:r>
      <w:r>
        <w:rPr>
          <w:sz w:val="22"/>
        </w:rPr>
        <w:t xml:space="preserve">. </w:t>
      </w:r>
    </w:p>
    <w:p>
      <w:pPr>
        <w:pStyle w:val="Normal"/>
        <w:numPr>
          <w:ilvl w:val="0"/>
          <w:numId w:val="2"/>
        </w:numPr>
        <w:rPr>
          <w:sz w:val="22"/>
        </w:rPr>
      </w:pPr>
      <w:r>
        <w:rPr>
          <w:sz w:val="22"/>
        </w:rPr>
        <w:t>The Website may provide links to certain internet sites sponsored and maintained by third parties. Such sites are publicly available and Enron is providing access to such links through the Website solely as a convenience to Talisman.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Talisman understands and agrees that it will use or rely on such sites solely at its own risk and that Enron does not grant the Talisman any rights in respect of such sites.</w:t>
      </w:r>
    </w:p>
    <w:p>
      <w:pPr>
        <w:pStyle w:val="Normal"/>
        <w:rPr>
          <w:sz w:val="22"/>
        </w:rPr>
      </w:pPr>
      <w:r>
        <w:rPr>
          <w:sz w:val="22"/>
        </w:rPr>
        <w:t>(g)</w:t>
        <w:tab/>
        <w:t xml:space="preserve">SUBJECT TO THE TERMS OF THIS AGREEMENT AND THE Master AND TRANSACTIONS THEREUNDER, TALISMAN ACKNOWLEDGES, UNDERSTANDS AND ACCEPTS THAT (i) ENRON MAKES NO WARRANTY WHATSOEVER TO TALISMAN AS TO THE WEBSITE, OR THE RESULTS OF TALISMAN’S USE OF THE WEBSITE, EXPRESS OR IMPLIED, AND (ii) THE WEBSITE IS PROVIDED BY ENRON ON AN "AS IS" BASIS AT TALISMAN’S SOLE RISK AND ENRON EXPRESSLY DISCLAIMS ANY IMPLIED WARRANTIES OF SATISFACTORY QUALITY OR FITNESS FOR A PARTICULAR PURPOSE. </w:t>
      </w:r>
    </w:p>
    <w:p>
      <w:pPr>
        <w:pStyle w:val="Normal"/>
        <w:rPr/>
      </w:pPr>
      <w:r>
        <w:rPr>
          <w:b/>
          <w:sz w:val="22"/>
        </w:rPr>
        <w:t>3.</w:t>
        <w:tab/>
      </w:r>
      <w:r>
        <w:rPr>
          <w:b/>
          <w:sz w:val="22"/>
          <w:u w:val="single"/>
        </w:rPr>
        <w:t>TRANSACTIONS</w:t>
      </w:r>
      <w:r>
        <w:rPr>
          <w:b/>
          <w:sz w:val="22"/>
        </w:rPr>
        <w:t>.</w:t>
      </w:r>
    </w:p>
    <w:p>
      <w:pPr>
        <w:pStyle w:val="Normal"/>
        <w:rPr>
          <w:sz w:val="22"/>
        </w:rPr>
      </w:pPr>
      <w:r>
        <w:rPr>
          <w:sz w:val="22"/>
        </w:rPr>
        <w:t>(a)</w:t>
        <w:tab/>
        <w:t>Each Transaction executed by Talisman through the Website shall be subject to the   Master.</w:t>
      </w:r>
    </w:p>
    <w:p>
      <w:pPr>
        <w:pStyle w:val="Normal"/>
        <w:rPr>
          <w:sz w:val="22"/>
        </w:rPr>
      </w:pPr>
      <w:r>
        <w:rPr>
          <w:sz w:val="22"/>
        </w:rPr>
        <w:t>(b)</w:t>
        <w:tab/>
        <w:t>A Transaction will be initiated by Talisman offering to buy from, or sell to, Enron, by "clicking" on the designated spaces on the Website. The Website is not, and shall not be construed as, an offer to buy or sell by Enron.</w:t>
      </w:r>
    </w:p>
    <w:p>
      <w:pPr>
        <w:pStyle w:val="Normal"/>
        <w:rPr>
          <w:sz w:val="22"/>
        </w:rPr>
      </w:pPr>
      <w:r>
        <w:rPr>
          <w:sz w:val="22"/>
        </w:rPr>
        <w:t>(c)</w:t>
        <w:tab/>
        <w:t>Enron may accept or reject Talisman’s offer at its sole discretion. A Transaction shall be deemed executed at the time that Enron first signifies its acceptance of Talisman’s offer, accessible on the Website server by electronic notice to Talisman.  If Talisman does not receive electronic notice from Enron within one minute of the  Talisman  offer by "clicking",  the parties agree the offer has not been accepted via electronic notice and there is no executed Transaction.</w:t>
      </w:r>
    </w:p>
    <w:p>
      <w:pPr>
        <w:pStyle w:val="Normal"/>
        <w:rPr>
          <w:sz w:val="22"/>
        </w:rPr>
      </w:pPr>
      <w:r>
        <w:rPr>
          <w:sz w:val="22"/>
        </w:rPr>
        <w:t>(d)</w:t>
        <w:tab/>
        <w:t xml:space="preserve">Each Transaction entered into by Talisman through the Website will be executed with the Enron entity that is a party to the Master.   </w:t>
      </w:r>
    </w:p>
    <w:p>
      <w:pPr>
        <w:pStyle w:val="Normal"/>
        <w:rPr>
          <w:sz w:val="22"/>
        </w:rPr>
      </w:pPr>
      <w:r>
        <w:rPr>
          <w:sz w:val="22"/>
        </w:rPr>
        <w:t>(e)</w:t>
        <w:tab/>
        <w:t>Enron will furnish Talisman with a confirmation of each Transaction executed through the Website.</w:t>
      </w:r>
    </w:p>
    <w:p>
      <w:pPr>
        <w:pStyle w:val="Normal"/>
        <w:rPr/>
      </w:pPr>
      <w:r>
        <w:rPr>
          <w:b/>
          <w:sz w:val="22"/>
        </w:rPr>
        <w:t>4.</w:t>
        <w:tab/>
      </w:r>
      <w:r>
        <w:rPr>
          <w:b/>
          <w:sz w:val="22"/>
          <w:u w:val="single"/>
        </w:rPr>
        <w:t>LIMITATION OF LIABILITY; INDEMNITY.</w:t>
      </w:r>
    </w:p>
    <w:p>
      <w:pPr>
        <w:pStyle w:val="Normal"/>
        <w:numPr>
          <w:ilvl w:val="0"/>
          <w:numId w:val="3"/>
        </w:numPr>
        <w:rPr>
          <w:sz w:val="22"/>
        </w:rPr>
      </w:pPr>
      <w:r>
        <w:rPr>
          <w:sz w:val="22"/>
        </w:rPr>
        <w:t xml:space="preserve">SUBJECT TO THE TERMS OF THIS AGREEMENT AND THE  Master, ENRON AND ITS DIRECTORS, OFFICERS, EMPLOYEES AND AGENTS, SHALL HAVE NO LIABILITY, CONTINGENT OR OTHERWISE, TO TALISMAN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TALISMAN’S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numPr>
          <w:ilvl w:val="0"/>
          <w:numId w:val="3"/>
        </w:numPr>
        <w:rPr>
          <w:sz w:val="22"/>
        </w:rPr>
      </w:pPr>
      <w:r>
        <w:rPr>
          <w:sz w:val="22"/>
        </w:rPr>
        <w:t>Talisman shall indemnify, protect, and hold harmless Enron and its directors, officers, employees and agents from and against any and all losses, liabilities, judgments, suits, actions, proceedings, claims, damages, and costs (including attorneys’ fees) resulting from or arising out of Talisman’s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Talisman has authorized such access, and/or (iii) any actions taken or not taken by Talisman as a result of or based on its access to or utilization of the Website.</w:t>
      </w:r>
    </w:p>
    <w:p>
      <w:pPr>
        <w:pStyle w:val="Normal"/>
        <w:rPr>
          <w:sz w:val="22"/>
        </w:rPr>
      </w:pPr>
      <w:r>
        <w:rPr>
          <w:sz w:val="22"/>
        </w:rPr>
        <w:t>[****Please add reciprocal similar terms for TLM.*****]</w:t>
      </w:r>
    </w:p>
    <w:p>
      <w:pPr>
        <w:pStyle w:val="Normal"/>
        <w:rPr/>
      </w:pPr>
      <w:r>
        <w:rPr>
          <w:b/>
          <w:sz w:val="22"/>
        </w:rPr>
        <w:t>5.</w:t>
        <w:tab/>
      </w:r>
      <w:r>
        <w:rPr>
          <w:b/>
          <w:sz w:val="22"/>
          <w:u w:val="single"/>
        </w:rPr>
        <w:t>CONFIDENTIALITY</w:t>
      </w:r>
      <w:r>
        <w:rPr>
          <w:b/>
          <w:sz w:val="22"/>
        </w:rPr>
        <w:t>.</w:t>
      </w:r>
    </w:p>
    <w:p>
      <w:pPr>
        <w:pStyle w:val="Normal"/>
        <w:rPr>
          <w:sz w:val="22"/>
        </w:rPr>
      </w:pPr>
      <w:r>
        <w:rPr>
          <w:sz w:val="22"/>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Talisman)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rPr>
          <w:sz w:val="22"/>
        </w:rPr>
      </w:pPr>
      <w:r>
        <w:rPr>
          <w:sz w:val="22"/>
        </w:rPr>
        <w:t>(c)</w:t>
        <w:tab/>
        <w:t>Before a party discloses any Confidential Information in any of the circumstances described in clause 5(b)(iii),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rPr/>
      </w:pPr>
      <w:r>
        <w:rPr>
          <w:b/>
          <w:sz w:val="22"/>
        </w:rPr>
        <w:t>6.</w:t>
        <w:tab/>
      </w:r>
      <w:r>
        <w:rPr>
          <w:b/>
          <w:sz w:val="22"/>
          <w:u w:val="single"/>
        </w:rPr>
        <w:t>GENERAL</w:t>
      </w:r>
      <w:r>
        <w:rPr>
          <w:b/>
          <w:sz w:val="22"/>
        </w:rPr>
        <w:t>.</w:t>
      </w:r>
    </w:p>
    <w:p>
      <w:pPr>
        <w:pStyle w:val="Normal"/>
        <w:rPr/>
      </w:pPr>
      <w:r>
        <w:rPr>
          <w:sz w:val="22"/>
        </w:rPr>
        <w:t>(a)</w:t>
        <w:tab/>
        <w:t xml:space="preserve">This Agreement shall commence upon execution of this Agreement and the Password Agreement and Enron’s issuance of a user ID and Password to Talisman and  shall remain in effect unless and until terminated by either Party upon written notice to the other, to take effect immediately, in accordance with Section 6(e),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rPr>
          <w:sz w:val="22"/>
        </w:rPr>
      </w:pPr>
      <w:r>
        <w:rPr>
          <w:sz w:val="22"/>
        </w:rPr>
        <w:t>(b)</w:t>
        <w:tab/>
        <w:t>This Agreement may not be assigned by  either Party without the express prior written consent of  the other Party. This Agreement shall be binding upon each party and its successors and permitted assigns in accordance with its terms.</w:t>
      </w:r>
    </w:p>
    <w:p>
      <w:pPr>
        <w:pStyle w:val="Normal"/>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receipt of confirmation of transmission of the electronic mail message by the transmitter's computer.</w:t>
      </w:r>
    </w:p>
    <w:p>
      <w:pPr>
        <w:pStyle w:val="Normal"/>
        <w:numPr>
          <w:ilvl w:val="0"/>
          <w:numId w:val="2"/>
        </w:numPr>
        <w:rPr>
          <w:sz w:val="22"/>
        </w:rPr>
      </w:pPr>
      <w:r>
        <w:rPr>
          <w:sz w:val="22"/>
        </w:rPr>
        <w:t xml:space="preserve">This Agreement shall be governed by and construed in accordance with the laws of the Province of Alberta. </w:t>
      </w:r>
      <w:r>
        <w:rPr>
          <w:sz w:val="22"/>
          <w:highlight w:val="yellow"/>
        </w:rPr>
        <w:t>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r>
        <w:rPr>
          <w:sz w:val="22"/>
        </w:rPr>
        <w:t xml:space="preserve"> </w:t>
      </w:r>
    </w:p>
    <w:p>
      <w:pPr>
        <w:pStyle w:val="Normal"/>
        <w:rPr>
          <w:sz w:val="22"/>
        </w:rPr>
      </w:pPr>
      <w:r>
        <w:rPr>
          <w:sz w:val="22"/>
        </w:rPr>
        <w:t>******Re : Highlighted section &gt;&gt;&gt;Prefer arbitration under Alberta Arbitration Act.******</w:t>
      </w:r>
    </w:p>
    <w:p>
      <w:pPr>
        <w:pStyle w:val="Normal"/>
        <w:rPr>
          <w:sz w:val="22"/>
        </w:rPr>
      </w:pPr>
      <w:r>
        <w:rPr>
          <w:sz w:val="22"/>
        </w:rPr>
      </w:r>
    </w:p>
    <w:p>
      <w:pPr>
        <w:pStyle w:val="Normal"/>
        <w:rPr>
          <w:sz w:val="22"/>
        </w:rPr>
      </w:pPr>
      <w:r>
        <w:rPr>
          <w:sz w:val="22"/>
        </w:rPr>
      </w:r>
    </w:p>
    <w:p>
      <w:pPr>
        <w:pStyle w:val="Normal"/>
        <w:rPr>
          <w:sz w:val="22"/>
        </w:rPr>
      </w:pPr>
      <w:r>
        <w:rPr>
          <w:sz w:val="22"/>
        </w:rPr>
        <w:tab/>
        <w:tab/>
        <w:tab/>
        <w:tab/>
        <w:tab/>
        <w:t xml:space="preserve"> </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spacing w:before="0" w:after="240"/>
              <w:rPr>
                <w:sz w:val="22"/>
              </w:rPr>
            </w:pPr>
            <w:r>
              <w:rPr>
                <w:sz w:val="22"/>
              </w:rPr>
              <w:t>Talisman Energy Inc.  per:</w:t>
            </w:r>
          </w:p>
        </w:tc>
        <w:tc>
          <w:tcPr>
            <w:tcW w:w="4788" w:type="dxa"/>
            <w:tcBorders>
              <w:top w:val="single" w:sz="4" w:space="0" w:color="000000"/>
              <w:start w:val="single" w:sz="4" w:space="0" w:color="000000"/>
              <w:bottom w:val="single" w:sz="4" w:space="0" w:color="000000"/>
              <w:end w:val="single" w:sz="4" w:space="0" w:color="000000"/>
            </w:tcBorders>
          </w:tcPr>
          <w:p>
            <w:pPr>
              <w:pStyle w:val="Normal"/>
              <w:spacing w:before="0" w:after="240"/>
              <w:rPr>
                <w:sz w:val="22"/>
              </w:rPr>
            </w:pPr>
            <w:r>
              <w:rPr>
                <w:sz w:val="22"/>
              </w:rPr>
              <w:t>Enron Capital and Trade Resources Canada corp.  per:</w:t>
            </w:r>
          </w:p>
        </w:tc>
      </w:tr>
    </w:tbl>
    <w:p>
      <w:pPr>
        <w:pStyle w:val="Normal"/>
        <w:spacing w:before="0" w:after="240"/>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alisman Energy" w:date="0-00-00T00:00:00Z" w:initials="Jim Sloan">
    <w:p>
      <w:pPr>
        <w:overflowPunct w:val="false"/>
        <w:bidi w:val="0"/>
        <w:spacing w:before="0" w:after="240"/>
        <w:jc w:val="both"/>
        <w:rPr/>
      </w:pPr>
      <w:r>
        <w:annotationRef/>
      </w:r>
      <w:r>
        <w:rPr>
          <w:rFonts w:ascii="Times New Roman" w:hAnsi="Times New Roman" w:eastAsia="Times New Roman" w:cs="Times New Roman"/>
          <w:color w:val="auto"/>
          <w:sz w:val="20"/>
          <w:szCs w:val="20"/>
          <w:lang w:bidi="en-US" w:eastAsia="en-US" w:val="en-GB"/>
        </w:rPr>
        <w:t xml:space="preserve">      Please revise by adding the following concept:     This Agreement may be amended in two ways:  either by written agreement signed by all parties, or by notice of an amendment set out on the applicable Website according to the following procedures.  The Website notice of amendment will include a button allowing the Talisman to accept or reject the amendment and once a Talisman clicks approval, the amendment will be effective when the parties each receive notice by electronic mail that the amendment is accepted.  If notice is not received by Talisman within one minute of approval of amendment by the Talisman the amendment is deemed not approved.  The non approval does not affect this Agreement or TLM’s access to or use of the Website.</w:t>
      </w:r>
    </w:p>
  </w:comment>
  <w:comment w:id="1" w:author="Talisman Energy" w:date="0-00-00T00:00:00Z" w:initials="Jim Sloan">
    <w:p>
      <w:pPr>
        <w:overflowPunct w:val="false"/>
        <w:bidi w:val="0"/>
        <w:spacing w:before="0" w:after="240"/>
        <w:jc w:val="both"/>
        <w:rPr/>
      </w:pPr>
      <w:r>
        <w:annotationRef/>
      </w:r>
      <w:r>
        <w:rPr>
          <w:rFonts w:ascii="Times New Roman" w:hAnsi="Times New Roman" w:eastAsia="Times New Roman" w:cs="Times New Roman"/>
          <w:color w:val="auto"/>
          <w:sz w:val="20"/>
          <w:szCs w:val="20"/>
          <w:lang w:bidi="en-US" w:eastAsia="en-US" w:val="en-GB"/>
        </w:rPr>
        <w:t xml:space="preserve">  Passage deleted as proposed amendment process in  cl 1.  TLM may sell  3</w:t>
      </w:r>
      <w:r>
        <w:rPr>
          <w:rFonts w:ascii="Times New Roman" w:hAnsi="Times New Roman" w:eastAsia="Times New Roman" w:cs="Times New Roman"/>
          <w:color w:val="auto"/>
          <w:sz w:val="20"/>
          <w:szCs w:val="20"/>
          <w:vertAlign w:val="superscript"/>
          <w:lang w:bidi="en-US" w:eastAsia="en-US" w:val="en-GB"/>
        </w:rPr>
        <w:t>rd</w:t>
      </w:r>
      <w:r>
        <w:rPr>
          <w:rFonts w:ascii="Times New Roman" w:hAnsi="Times New Roman" w:eastAsia="Times New Roman" w:cs="Times New Roman"/>
          <w:color w:val="auto"/>
          <w:sz w:val="20"/>
          <w:szCs w:val="20"/>
          <w:lang w:bidi="en-US" w:eastAsia="en-US" w:val="en-GB"/>
        </w:rPr>
        <w:t xml:space="preserve"> party gas, ie. As an Operator when partners do not take in kind. Confidentiality is handled in  that section.</w:t>
      </w:r>
    </w:p>
  </w:comment>
  <w:comment w:id="2" w:author="Talisman Energy" w:date="0-00-00T00:00:00Z" w:initials="Jim Sloan">
    <w:p>
      <w:pPr>
        <w:overflowPunct w:val="false"/>
        <w:bidi w:val="0"/>
        <w:spacing w:before="0" w:after="240"/>
        <w:jc w:val="both"/>
        <w:rPr/>
      </w:pPr>
      <w:r>
        <w:annotationRef/>
      </w:r>
      <w:r>
        <w:rPr>
          <w:rFonts w:ascii="Times New Roman" w:hAnsi="Times New Roman" w:eastAsia="Times New Roman" w:cs="Times New Roman"/>
          <w:color w:val="auto"/>
          <w:sz w:val="20"/>
          <w:szCs w:val="20"/>
          <w:lang w:bidi="en-US" w:eastAsia="en-US" w:val="en-GB"/>
        </w:rPr>
        <w:t xml:space="preserve">     The deleted text is covered in earlier amendment addtions.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TimesNewRomanPS">
    <w:charset w:val="00" w:characterSet="windows-1252"/>
    <w:family w:val="roman"/>
    <w:pitch w:val="variable"/>
  </w:font>
  <w:font w:name="Tms Rmn">
    <w:altName w:val="Times New Roman"/>
    <w:charset w:val="00" w:characterSet="windows-1252"/>
    <w:family w:val="roman"/>
    <w:pitch w:val="variable"/>
  </w:font>
  <w:font w:name="Footlight MT Ligh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\p </w:instrText>
    </w:r>
    <w:r>
      <w:rPr/>
      <w:fldChar w:fldCharType="separate"/>
    </w:r>
    <w:r>
      <w:rPr/>
      <w:t>/mnt/main-storage/datasets/enron-docs/doc/EnronOnline_00_1_21_al_amended_by_js1.doc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34226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42265" cy="146685"/>
                      </a:xfrm>
                      <a:prstGeom prst="rect"/>
                      <a:solidFill>
                        <a:srgbClr val="FFFFFF">
                          <a:alpha val="0"/>
                        </a:srgbClr>
                      </a:solidFill>
                    </wps:spPr>
                    <wps:txbx>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6.95pt;height:11.55pt;mso-wrap-distance-left:0pt;mso-wrap-distance-right:0pt;mso-wrap-distance-top:0pt;mso-wrap-distance-bottom:0pt;margin-top:0.05pt;mso-position-vertical-relative:text;margin-left:220.55pt;mso-position-horizontal:center;mso-position-horizontal-relative:margin">
              <v:fill opacity="0f"/>
              <v:textbox inset="0in,0in,0in,0in">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lowerLetter"/>
      <w:lvlText w:val="(%2)"/>
      <w:lvlJc w:val="start"/>
      <w:pPr>
        <w:tabs>
          <w:tab w:val="num" w:pos="1440"/>
        </w:tabs>
        <w:ind w:start="1440" w:hanging="720"/>
      </w:pPr>
    </w:lvl>
    <w:lvl w:ilvl="2">
      <w:start w:val="1"/>
      <w:pStyle w:val="Heading3"/>
      <w:numFmt w:val="lowerRoman"/>
      <w:lvlText w:val="(%3)"/>
      <w:lvlJc w:val="start"/>
      <w:pPr>
        <w:tabs>
          <w:tab w:val="num" w:pos="2160"/>
        </w:tabs>
        <w:ind w:start="2160" w:hanging="720"/>
      </w:pPr>
    </w:lvl>
    <w:lvl w:ilvl="3">
      <w:start w:val="1"/>
      <w:pStyle w:val="Heading4"/>
      <w:numFmt w:val="upperLetter"/>
      <w:lvlText w:val="(%4)"/>
      <w:lvlJc w:val="start"/>
      <w:pPr>
        <w:tabs>
          <w:tab w:val="num" w:pos="2880"/>
        </w:tabs>
        <w:ind w:start="2880" w:hanging="720"/>
      </w:pPr>
    </w:lvl>
    <w:lvl w:ilvl="4">
      <w:start w:val="1"/>
      <w:pStyle w:val="Heading5"/>
      <w:numFmt w:val="bullet"/>
      <w:lvlText w:val=""/>
      <w:lvlJc w:val="start"/>
      <w:pPr>
        <w:tabs>
          <w:tab w:val="num" w:pos="720"/>
        </w:tabs>
        <w:ind w:start="720" w:hanging="720"/>
      </w:pPr>
      <w:rPr>
        <w:rFonts w:ascii="Symbol" w:hAnsi="Symbol" w:cs="Symbol" w:hint="default"/>
        <w:sz w:val="16"/>
        <w:color w:val="auto"/>
      </w:rPr>
    </w:lvl>
    <w:lvl w:ilvl="5">
      <w:start w:val="1"/>
      <w:pStyle w:val="Heading6"/>
      <w:numFmt w:val="bullet"/>
      <w:lvlText w:val=""/>
      <w:lvlJc w:val="start"/>
      <w:pPr>
        <w:tabs>
          <w:tab w:val="num" w:pos="1440"/>
        </w:tabs>
        <w:ind w:start="1440" w:hanging="720"/>
      </w:pPr>
      <w:rPr>
        <w:rFonts w:ascii="Symbol" w:hAnsi="Symbol" w:cs="Symbol" w:hint="default"/>
        <w:sz w:val="16"/>
        <w:color w:val="auto"/>
      </w:rPr>
    </w:lvl>
    <w:lvl w:ilvl="6">
      <w:start w:val="1"/>
      <w:pStyle w:val="Heading7"/>
      <w:numFmt w:val="bullet"/>
      <w:lvlText w:val=""/>
      <w:lvlJc w:val="start"/>
      <w:pPr>
        <w:tabs>
          <w:tab w:val="num" w:pos="2160"/>
        </w:tabs>
        <w:ind w:start="2160" w:hanging="720"/>
      </w:pPr>
      <w:rPr>
        <w:rFonts w:ascii="Symbol" w:hAnsi="Symbol" w:cs="Symbol" w:hint="default"/>
        <w:sz w:val="16"/>
        <w:color w:val="auto"/>
      </w:rPr>
    </w:lvl>
    <w:lvl w:ilvl="7">
      <w:start w:val="1"/>
      <w:pStyle w:val="Heading8"/>
      <w:numFmt w:val="bullet"/>
      <w:lvlText w:val=""/>
      <w:lvlJc w:val="start"/>
      <w:pPr>
        <w:tabs>
          <w:tab w:val="num" w:pos="2880"/>
        </w:tabs>
        <w:ind w:start="2880" w:hanging="720"/>
      </w:pPr>
      <w:rPr>
        <w:rFonts w:ascii="Symbol" w:hAnsi="Symbol" w:cs="Symbol" w:hint="default"/>
        <w:sz w:val="16"/>
        <w:color w:val="auto"/>
      </w:rPr>
    </w:lvl>
    <w:lvl w:ilvl="8">
      <w:start w:val="1"/>
      <w:pStyle w:val="Heading9"/>
      <w:numFmt w:val="none"/>
      <w:suff w:val="nothing"/>
      <w:lvlText w:val=""/>
      <w:lvlJc w:val="start"/>
      <w:pPr>
        <w:tabs>
          <w:tab w:val="num" w:pos="1440"/>
        </w:tabs>
        <w:ind w:start="1440" w:hanging="720"/>
      </w:pPr>
      <w:rPr>
        <w:rFonts w:ascii="Monotype Sorts" w:hAnsi="Monotype Sorts" w:cs="Monotype Sorts"/>
      </w:rPr>
    </w:lvl>
  </w:abstractNum>
  <w:abstractNum w:abstractNumId="2">
    <w:lvl w:ilvl="0">
      <w:start w:val="5"/>
      <w:numFmt w:val="lowerLetter"/>
      <w:lvlText w:val="(%1)"/>
      <w:lvlJc w:val="start"/>
      <w:pPr>
        <w:tabs>
          <w:tab w:val="num" w:pos="720"/>
        </w:tabs>
        <w:ind w:start="720" w:hanging="720"/>
      </w:pPr>
      <w:rPr/>
    </w:lvl>
  </w:abstractNum>
  <w:abstractNum w:abstractNumId="3">
    <w:lvl w:ilvl="0">
      <w:start w:val="1"/>
      <w:numFmt w:val="lowerLetter"/>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BodyText"/>
    <w:qFormat/>
    <w:pPr>
      <w:numPr>
        <w:ilvl w:val="0"/>
        <w:numId w:val="1"/>
      </w:numPr>
      <w:outlineLvl w:val="0"/>
    </w:pPr>
    <w:rPr>
      <w:kern w:val="2"/>
      <w:lang w:val="en-GB"/>
    </w:rPr>
  </w:style>
  <w:style w:type="paragraph" w:styleId="Heading2">
    <w:name w:val="heading 2"/>
    <w:basedOn w:val="Normal"/>
    <w:next w:val="BodyText"/>
    <w:qFormat/>
    <w:pPr>
      <w:numPr>
        <w:ilvl w:val="1"/>
        <w:numId w:val="1"/>
      </w:numPr>
      <w:outlineLvl w:val="1"/>
    </w:pPr>
    <w:rPr/>
  </w:style>
  <w:style w:type="paragraph" w:styleId="Heading3">
    <w:name w:val="heading 3"/>
    <w:basedOn w:val="Normal"/>
    <w:next w:val="BodyText"/>
    <w:qFormat/>
    <w:pPr>
      <w:numPr>
        <w:ilvl w:val="2"/>
        <w:numId w:val="1"/>
      </w:numPr>
      <w:outlineLvl w:val="2"/>
    </w:pPr>
    <w:rPr>
      <w:lang w:val="en-GB"/>
    </w:rPr>
  </w:style>
  <w:style w:type="paragraph" w:styleId="Heading4">
    <w:name w:val="heading 4"/>
    <w:basedOn w:val="Normal"/>
    <w:next w:val="BodyText"/>
    <w:qFormat/>
    <w:pPr>
      <w:numPr>
        <w:ilvl w:val="3"/>
        <w:numId w:val="1"/>
      </w:numPr>
      <w:outlineLvl w:val="3"/>
    </w:pPr>
    <w:rPr>
      <w:lang w:val="en-GB"/>
    </w:rPr>
  </w:style>
  <w:style w:type="paragraph" w:styleId="Heading5">
    <w:name w:val="heading 5"/>
    <w:basedOn w:val="Normal"/>
    <w:next w:val="BodyText"/>
    <w:qFormat/>
    <w:pPr>
      <w:numPr>
        <w:ilvl w:val="4"/>
        <w:numId w:val="1"/>
      </w:numPr>
      <w:outlineLvl w:val="4"/>
    </w:pPr>
    <w:rPr>
      <w:lang w:val="en-GB"/>
    </w:rPr>
  </w:style>
  <w:style w:type="paragraph" w:styleId="Heading6">
    <w:name w:val="heading 6"/>
    <w:basedOn w:val="Normal"/>
    <w:next w:val="BodyText"/>
    <w:qFormat/>
    <w:pPr>
      <w:numPr>
        <w:ilvl w:val="5"/>
        <w:numId w:val="1"/>
      </w:numPr>
      <w:outlineLvl w:val="5"/>
    </w:pPr>
    <w:rPr>
      <w:lang w:val="en-GB"/>
    </w:rPr>
  </w:style>
  <w:style w:type="paragraph" w:styleId="Heading7">
    <w:name w:val="heading 7"/>
    <w:basedOn w:val="Normal"/>
    <w:next w:val="BodyText"/>
    <w:qFormat/>
    <w:pPr>
      <w:numPr>
        <w:ilvl w:val="6"/>
        <w:numId w:val="1"/>
      </w:numPr>
      <w:outlineLvl w:val="6"/>
    </w:pPr>
    <w:rPr/>
  </w:style>
  <w:style w:type="paragraph" w:styleId="Heading8">
    <w:name w:val="heading 8"/>
    <w:basedOn w:val="Normal"/>
    <w:next w:val="BodyText"/>
    <w:qFormat/>
    <w:pPr>
      <w:numPr>
        <w:ilvl w:val="7"/>
        <w:numId w:val="1"/>
      </w:numPr>
      <w:outlineLvl w:val="7"/>
    </w:pPr>
    <w:rPr>
      <w:lang w:val="en-GB"/>
    </w:rPr>
  </w:style>
  <w:style w:type="paragraph" w:styleId="Heading9">
    <w:name w:val="heading 9"/>
    <w:basedOn w:val="Normal"/>
    <w:next w:val="BodyText"/>
    <w:qFormat/>
    <w:pPr>
      <w:numPr>
        <w:ilvl w:val="8"/>
        <w:numId w:val="1"/>
      </w:numPr>
      <w:outlineLvl w:val="8"/>
    </w:pPr>
    <w:rPr>
      <w:lang w:val="en-GB"/>
    </w:rPr>
  </w:style>
  <w:style w:type="character" w:styleId="WW8Num1z4">
    <w:name w:val="WW8Num1z4"/>
    <w:qFormat/>
    <w:rPr>
      <w:rFonts w:ascii="Symbol" w:hAnsi="Symbol" w:cs="Symbol"/>
      <w:color w:val="auto"/>
      <w:sz w:val="16"/>
    </w:rPr>
  </w:style>
  <w:style w:type="character" w:styleId="WW8Num1z8">
    <w:name w:val="WW8Num1z8"/>
    <w:qFormat/>
    <w:rPr>
      <w:rFonts w:ascii="Monotype Sorts" w:hAnsi="Monotype Sorts" w:cs="Monotype Sorts"/>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rFonts w:ascii="TimesNewRomanPS" w:hAnsi="TimesNewRomanPS" w:cs="TimesNewRomanPS"/>
      <w:color w:val="000080"/>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jc w:val="center"/>
    </w:pPr>
    <w:rPr>
      <w:b/>
      <w:kern w:val="2"/>
      <w:sz w:val="28"/>
    </w:rPr>
  </w:style>
  <w:style w:type="paragraph" w:styleId="BodyText">
    <w:name w:val="Body Text"/>
    <w:basedOn w:val="Normal"/>
    <w:pPr>
      <w:widowControl w:val="false"/>
      <w:tabs>
        <w:tab w:val="clear" w:pos="720"/>
        <w:tab w:val="left" w:pos="1416" w:leader="none"/>
      </w:tabs>
    </w:pPr>
    <w:rPr>
      <w:rFonts w:ascii="Tms Rmn;Times New Roman" w:hAnsi="Tms Rmn;Times New Roman" w:cs="Tms Rmn;Times New Roman"/>
      <w:color w:val="000000"/>
      <w:sz w:val="20"/>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
    <w:name w:val="Re"/>
    <w:basedOn w:val="Normal"/>
    <w:next w:val="Normal"/>
    <w:qFormat/>
    <w:pPr>
      <w:pBdr>
        <w:bottom w:val="single" w:sz="6" w:space="3" w:color="000000"/>
      </w:pBdr>
      <w:ind w:hanging="720" w:start="72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Footlight MT Light" w:hAnsi="Footlight MT Light" w:cs="Footlight MT Light"/>
      <w:color w:val="0000FF"/>
      <w:sz w:val="12"/>
    </w:rPr>
  </w:style>
  <w:style w:type="paragraph" w:styleId="Header">
    <w:name w:val="header"/>
    <w:basedOn w:val="Normal"/>
    <w:pPr>
      <w:tabs>
        <w:tab w:val="clear" w:pos="720"/>
        <w:tab w:val="center" w:pos="4320" w:leader="none"/>
        <w:tab w:val="right" w:pos="8640" w:leader="none"/>
      </w:tabs>
      <w:spacing w:before="0" w:after="0"/>
    </w:pPr>
    <w:rPr>
      <w:rFonts w:ascii="TimesNewRomanPS" w:hAnsi="TimesNewRomanPS" w:cs="TimesNewRomanPS"/>
      <w:color w:val="000080"/>
      <w:sz w:val="20"/>
    </w:rPr>
  </w:style>
  <w:style w:type="paragraph" w:styleId="Single">
    <w:name w:val="Single"/>
    <w:basedOn w:val="Normal"/>
    <w:qFormat/>
    <w:pPr>
      <w:spacing w:before="0" w:after="0"/>
    </w:pPr>
    <w:rPr/>
  </w:style>
  <w:style w:type="paragraph" w:styleId="Subtitle">
    <w:name w:val="Subtitle"/>
    <w:basedOn w:val="Normal"/>
    <w:next w:val="BodyText"/>
    <w:qFormat/>
    <w:pPr>
      <w:keepNext w:val="true"/>
      <w:jc w:val="start"/>
    </w:pPr>
    <w:rPr>
      <w:b/>
      <w:spacing w:val="20"/>
      <w:sz w:val="28"/>
      <w:u w:val="single"/>
    </w:rPr>
  </w:style>
  <w:style w:type="paragraph" w:styleId="Heading1Para">
    <w:name w:val="Heading 1 Para"/>
    <w:basedOn w:val="Normal"/>
    <w:qFormat/>
    <w:pPr>
      <w:ind w:hanging="0" w:start="720" w:end="0"/>
    </w:pPr>
    <w:rPr>
      <w:lang w:val="en-US"/>
    </w:rPr>
  </w:style>
  <w:style w:type="paragraph" w:styleId="Heading2Para">
    <w:name w:val="Heading 2 Para"/>
    <w:basedOn w:val="Normal"/>
    <w:qFormat/>
    <w:pPr>
      <w:ind w:hanging="0" w:start="1440" w:end="0"/>
    </w:pPr>
    <w:rPr>
      <w:lang w:val="en-US"/>
    </w:rPr>
  </w:style>
  <w:style w:type="paragraph" w:styleId="Heading3Para">
    <w:name w:val="Heading 3 Para"/>
    <w:basedOn w:val="Normal"/>
    <w:qFormat/>
    <w:pPr>
      <w:ind w:hanging="0" w:start="2160" w:end="0"/>
    </w:pPr>
    <w:rPr>
      <w:lang w:val="en-US"/>
    </w:rPr>
  </w:style>
  <w:style w:type="paragraph" w:styleId="Heading4Para">
    <w:name w:val="Heading 4 Para"/>
    <w:basedOn w:val="Normal"/>
    <w:qFormat/>
    <w:pPr>
      <w:ind w:hanging="0" w:start="2880" w:end="0"/>
    </w:pPr>
    <w:rPr>
      <w:lang w:val="en-US"/>
    </w:rPr>
  </w:style>
  <w:style w:type="paragraph" w:styleId="Heading5Para">
    <w:name w:val="Heading 5 Para"/>
    <w:basedOn w:val="Normal"/>
    <w:qFormat/>
    <w:pPr>
      <w:ind w:hanging="0" w:start="2880" w:end="0"/>
    </w:pPr>
    <w:rPr>
      <w:lang w:val="en-US"/>
    </w:rPr>
  </w:style>
  <w:style w:type="paragraph" w:styleId="Heading6Para">
    <w:name w:val="Heading 6 Para"/>
    <w:basedOn w:val="Normal"/>
    <w:qFormat/>
    <w:pPr>
      <w:ind w:hanging="0" w:start="3600" w:end="0"/>
    </w:pPr>
    <w:rPr>
      <w:lang w:val="en-US"/>
    </w:rPr>
  </w:style>
  <w:style w:type="paragraph" w:styleId="Heading7Para">
    <w:name w:val="Heading 7 Para"/>
    <w:basedOn w:val="Normal"/>
    <w:qFormat/>
    <w:pPr>
      <w:ind w:hanging="0" w:start="4320" w:end="0"/>
    </w:pPr>
    <w:rPr>
      <w:lang w:val="en-US"/>
    </w:rPr>
  </w:style>
  <w:style w:type="paragraph" w:styleId="Heading8Para">
    <w:name w:val="Heading 8 Para"/>
    <w:basedOn w:val="Normal"/>
    <w:qFormat/>
    <w:pPr>
      <w:ind w:hanging="0" w:start="5040" w:end="0"/>
    </w:pPr>
    <w:rPr>
      <w:lang w:val="en-US"/>
    </w:rPr>
  </w:style>
  <w:style w:type="paragraph" w:styleId="Heading9Para">
    <w:name w:val="Heading 9 Para"/>
    <w:basedOn w:val="Normal"/>
    <w:qFormat/>
    <w:pPr>
      <w:ind w:hanging="0" w:start="5760" w:end="0"/>
    </w:pPr>
    <w:rPr>
      <w:lang w:val="en-US"/>
    </w:rPr>
  </w:style>
  <w:style w:type="paragraph" w:styleId="BodyTextIndent">
    <w:name w:val="Body Text Indent"/>
    <w:basedOn w:val="Normal"/>
    <w:pPr>
      <w:widowControl w:val="false"/>
      <w:spacing w:before="100" w:after="100"/>
      <w:ind w:firstLine="720" w:start="0" w:end="0"/>
    </w:pPr>
    <w:rPr>
      <w:lang w:val="en-US" w:eastAsia="en-US"/>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My Normal Template.dot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2000-01-21T13:51:00Z</dcterms:created>
  <dc:creator>Sharon Picard</dc:creator>
  <dc:description/>
  <dc:language>en-CA</dc:language>
  <cp:lastModifiedBy>Talisman Energy</cp:lastModifiedBy>
  <dcterms:modified xsi:type="dcterms:W3CDTF">2000-01-21T16:04:00Z</dcterms:modified>
  <cp:revision>6</cp:revision>
  <dc:subject/>
  <dc:title>My Normal Template</dc:title>
</cp:coreProperties>
</file>