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footnotes.xml" ContentType="application/vnd.openxmlformats-officedocument.wordprocessingml.footnotes+xml"/>
  <Override PartName="/word/header3.xml" ContentType="application/vnd.openxmlformats-officedocument.wordprocessingml.head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left" w:pos="1440" w:leader="none"/>
          <w:tab w:val="center" w:pos="4320" w:leader="none"/>
          <w:tab w:val="right" w:pos="8640" w:leader="none"/>
        </w:tabs>
        <w:spacing w:lineRule="exact" w:line="228"/>
        <w:rPr/>
      </w:pPr>
      <w:r>
        <w:rPr/>
        <w:t>Carl A. Eklund (Admitted Pro Hac Vice)</w:t>
        <w:tab/>
        <w:tab/>
      </w:r>
      <w:r>
        <w:rPr>
          <w:b/>
          <w:sz w:val="48"/>
        </w:rPr>
        <w:t>DRAFT - 8/22/01</w:t>
      </w:r>
    </w:p>
    <w:p>
      <w:pPr>
        <w:pStyle w:val="Header"/>
        <w:spacing w:lineRule="exact" w:line="228"/>
        <w:rPr/>
      </w:pPr>
      <w:r>
        <w:rPr/>
        <w:t>LeBOEUF, LAMB, GREENE &amp; MacRAE, L.L.P.</w:t>
      </w:r>
    </w:p>
    <w:p>
      <w:pPr>
        <w:pStyle w:val="Header"/>
        <w:spacing w:lineRule="exact" w:line="228"/>
        <w:rPr/>
      </w:pPr>
      <w:r>
        <w:rPr/>
        <w:t>633 17th Street, Suite 2000</w:t>
      </w:r>
    </w:p>
    <w:p>
      <w:pPr>
        <w:pStyle w:val="Header"/>
        <w:spacing w:lineRule="exact" w:line="228"/>
        <w:rPr/>
      </w:pPr>
      <w:r>
        <w:rPr/>
        <w:t>Denver, Colorado  80202</w:t>
      </w:r>
    </w:p>
    <w:p>
      <w:pPr>
        <w:pStyle w:val="Header"/>
        <w:tabs>
          <w:tab w:val="left" w:pos="1440" w:leader="none"/>
          <w:tab w:val="center" w:pos="4320" w:leader="none"/>
          <w:tab w:val="right" w:pos="8640" w:leader="none"/>
        </w:tabs>
        <w:spacing w:lineRule="exact" w:line="228"/>
        <w:rPr/>
      </w:pPr>
      <w:r>
        <w:rPr/>
        <w:t>Telephone:</w:t>
        <w:tab/>
        <w:t>(303) 291-2600</w:t>
      </w:r>
    </w:p>
    <w:p>
      <w:pPr>
        <w:pStyle w:val="Header"/>
        <w:tabs>
          <w:tab w:val="left" w:pos="1440" w:leader="none"/>
          <w:tab w:val="center" w:pos="4320" w:leader="none"/>
          <w:tab w:val="right" w:pos="8640" w:leader="none"/>
        </w:tabs>
        <w:spacing w:lineRule="exact" w:line="228"/>
        <w:rPr/>
      </w:pPr>
      <w:r>
        <w:rPr/>
        <w:t>Facsimile:</w:t>
        <w:tab/>
        <w:t>(303) 297-0422</w:t>
      </w:r>
    </w:p>
    <w:p>
      <w:pPr>
        <w:pStyle w:val="Header"/>
        <w:spacing w:lineRule="exact" w:line="228"/>
        <w:rPr/>
      </w:pPr>
      <w:r>
        <w:rPr/>
      </w:r>
    </w:p>
    <w:p>
      <w:pPr>
        <w:pStyle w:val="Header"/>
        <w:spacing w:lineRule="exact" w:line="228"/>
        <w:rPr/>
      </w:pPr>
      <w:r>
        <w:rPr/>
        <w:t>Charles Ferguson (State Bar No. 63343)</w:t>
      </w:r>
    </w:p>
    <w:p>
      <w:pPr>
        <w:pStyle w:val="Header"/>
        <w:spacing w:lineRule="exact" w:line="228"/>
        <w:rPr/>
      </w:pPr>
      <w:r>
        <w:rPr/>
        <w:t>Sanford Kingsley (State Bar No. 99849)</w:t>
      </w:r>
    </w:p>
    <w:p>
      <w:pPr>
        <w:pStyle w:val="Header"/>
        <w:spacing w:lineRule="exact" w:line="228"/>
        <w:rPr/>
      </w:pPr>
      <w:r>
        <w:rPr/>
        <w:t>LeBOEUF, LAMB, GREENE &amp; MacRAE, L.L.P.</w:t>
      </w:r>
    </w:p>
    <w:p>
      <w:pPr>
        <w:pStyle w:val="Header"/>
        <w:spacing w:lineRule="exact" w:line="228"/>
        <w:rPr/>
      </w:pPr>
      <w:r>
        <w:rPr/>
        <w:t>One Embarcadero Center, Suite 400</w:t>
      </w:r>
    </w:p>
    <w:p>
      <w:pPr>
        <w:pStyle w:val="Header"/>
        <w:spacing w:lineRule="exact" w:line="228"/>
        <w:rPr/>
      </w:pPr>
      <w:r>
        <w:rPr/>
        <w:t>San Francisco, California 94111</w:t>
      </w:r>
    </w:p>
    <w:p>
      <w:pPr>
        <w:pStyle w:val="Header"/>
        <w:tabs>
          <w:tab w:val="left" w:pos="1440" w:leader="none"/>
          <w:tab w:val="center" w:pos="4320" w:leader="none"/>
          <w:tab w:val="right" w:pos="8640" w:leader="none"/>
        </w:tabs>
        <w:spacing w:lineRule="exact" w:line="228"/>
        <w:rPr/>
      </w:pPr>
      <w:r>
        <w:rPr/>
        <w:t>Telephone:</w:t>
        <w:tab/>
        <w:t>(415) 951-1100</w:t>
      </w:r>
    </w:p>
    <w:p>
      <w:pPr>
        <w:pStyle w:val="Header"/>
        <w:tabs>
          <w:tab w:val="left" w:pos="1440" w:leader="none"/>
          <w:tab w:val="center" w:pos="4320" w:leader="none"/>
          <w:tab w:val="right" w:pos="8640" w:leader="none"/>
        </w:tabs>
        <w:spacing w:lineRule="exact" w:line="228"/>
        <w:rPr/>
      </w:pPr>
      <w:r>
        <w:rPr/>
        <w:t>Facsimile:</w:t>
        <w:tab/>
        <w:t>(415) 951-1180</w:t>
      </w:r>
    </w:p>
    <w:p>
      <w:pPr>
        <w:pStyle w:val="Header"/>
        <w:spacing w:lineRule="exact" w:line="228"/>
        <w:rPr/>
      </w:pPr>
      <w:r>
        <w:rPr/>
      </w:r>
    </w:p>
    <w:p>
      <w:pPr>
        <w:pStyle w:val="Header"/>
        <w:spacing w:lineRule="exact" w:line="228"/>
        <w:rPr/>
      </w:pPr>
      <w:r>
        <w:rPr/>
        <w:t>Attorneys for Movants</w:t>
      </w:r>
    </w:p>
    <w:p>
      <w:pPr>
        <w:pStyle w:val="Header"/>
        <w:spacing w:lineRule="exact" w:line="228"/>
        <w:rPr/>
      </w:pPr>
      <w:r>
        <w:rPr/>
        <w:t>ENRON ENERGY SERVICES, INC.,</w:t>
      </w:r>
    </w:p>
    <w:p>
      <w:pPr>
        <w:pStyle w:val="Header"/>
        <w:spacing w:lineRule="exact" w:line="228"/>
        <w:rPr/>
      </w:pPr>
      <w:r>
        <w:rPr/>
        <w:t>ENRON ENERGY MARKETING CORP.</w:t>
      </w:r>
    </w:p>
    <w:p>
      <w:pPr>
        <w:pStyle w:val="Header"/>
        <w:tabs>
          <w:tab w:val="clear" w:pos="4320"/>
          <w:tab w:val="clear" w:pos="8640"/>
        </w:tabs>
        <w:spacing w:lineRule="exact" w:line="228"/>
        <w:rPr/>
      </w:pPr>
      <w:r>
        <w:rPr/>
      </w:r>
    </w:p>
    <w:p>
      <w:pPr>
        <w:pStyle w:val="Normal"/>
        <w:spacing w:lineRule="exact" w:line="228"/>
        <w:rPr/>
      </w:pPr>
      <w:r>
        <w:rPr/>
      </w:r>
    </w:p>
    <w:p>
      <w:pPr>
        <w:pStyle w:val="Normal"/>
        <w:spacing w:lineRule="exact" w:line="228"/>
        <w:jc w:val="center"/>
        <w:rPr/>
      </w:pPr>
      <w:r>
        <w:rPr/>
        <w:t>UNITED STATES BANKRUPTCY COURT</w:t>
      </w:r>
    </w:p>
    <w:p>
      <w:pPr>
        <w:pStyle w:val="Normal"/>
        <w:spacing w:lineRule="exact" w:line="228"/>
        <w:jc w:val="center"/>
        <w:rPr/>
      </w:pPr>
      <w:r>
        <w:rPr/>
      </w:r>
    </w:p>
    <w:p>
      <w:pPr>
        <w:pStyle w:val="Normal"/>
        <w:spacing w:lineRule="exact" w:line="228"/>
        <w:jc w:val="center"/>
        <w:rPr/>
      </w:pPr>
      <w:r>
        <w:rPr/>
        <w:t>NORTHERN DISTRICT OF CALIFORNIA</w:t>
      </w:r>
    </w:p>
    <w:p>
      <w:pPr>
        <w:pStyle w:val="Normal"/>
        <w:spacing w:lineRule="exact" w:line="228"/>
        <w:jc w:val="center"/>
        <w:rPr/>
      </w:pPr>
      <w:r>
        <w:rPr/>
      </w:r>
    </w:p>
    <w:p>
      <w:pPr>
        <w:pStyle w:val="Normal"/>
        <w:spacing w:lineRule="exact" w:line="228"/>
        <w:jc w:val="center"/>
        <w:rPr/>
      </w:pPr>
      <w:r>
        <w:rPr/>
        <w:t>SAN FRANCISCO DIVISION</w:t>
      </w:r>
    </w:p>
    <w:p>
      <w:pPr>
        <w:pStyle w:val="Normal"/>
        <w:spacing w:lineRule="exact" w:line="228"/>
        <w:rPr/>
      </w:pPr>
      <w:r>
        <w:rPr/>
      </w:r>
    </w:p>
    <w:tbl>
      <w:tblPr>
        <w:tblW w:w="9399" w:type="dxa"/>
        <w:jc w:val="center"/>
        <w:tblInd w:w="0" w:type="dxa"/>
        <w:tblLayout w:type="fixed"/>
        <w:tblCellMar>
          <w:top w:w="0" w:type="dxa"/>
          <w:start w:w="0" w:type="dxa"/>
          <w:bottom w:w="0" w:type="dxa"/>
          <w:end w:w="0" w:type="dxa"/>
        </w:tblCellMar>
      </w:tblPr>
      <w:tblGrid>
        <w:gridCol w:w="4340"/>
        <w:gridCol w:w="360"/>
        <w:gridCol w:w="4699"/>
      </w:tblGrid>
      <w:tr>
        <w:trPr/>
        <w:tc>
          <w:tcPr>
            <w:tcW w:w="4340" w:type="dxa"/>
            <w:tcBorders>
              <w:top w:val="single" w:sz="6" w:space="0" w:color="FFFFFF"/>
              <w:start w:val="single" w:sz="6" w:space="0" w:color="FFFFFF"/>
              <w:bottom w:val="single" w:sz="4" w:space="0" w:color="000000"/>
              <w:end w:val="single" w:sz="6" w:space="0" w:color="FFFFFF"/>
            </w:tcBorders>
          </w:tcPr>
          <w:p>
            <w:pPr>
              <w:pStyle w:val="Normal"/>
              <w:spacing w:lineRule="exact" w:line="228"/>
              <w:rPr/>
            </w:pPr>
            <w:r>
              <w:rPr/>
              <w:t>In re</w:t>
            </w:r>
          </w:p>
          <w:p>
            <w:pPr>
              <w:pStyle w:val="Normal"/>
              <w:spacing w:lineRule="exact" w:line="228"/>
              <w:rPr/>
            </w:pPr>
            <w:r>
              <w:rPr/>
            </w:r>
          </w:p>
          <w:p>
            <w:pPr>
              <w:pStyle w:val="Normal"/>
              <w:spacing w:lineRule="exact" w:line="228"/>
              <w:rPr/>
            </w:pPr>
            <w:r>
              <w:rPr/>
              <w:t>PACIFIC GAS AND ELECTRIC COMPANY, a California corporation,</w:t>
            </w:r>
          </w:p>
          <w:p>
            <w:pPr>
              <w:pStyle w:val="Normal"/>
              <w:spacing w:lineRule="exact" w:line="228"/>
              <w:rPr/>
            </w:pPr>
            <w:r>
              <w:rPr/>
            </w:r>
          </w:p>
          <w:p>
            <w:pPr>
              <w:pStyle w:val="Normal"/>
              <w:spacing w:lineRule="exact" w:line="228"/>
              <w:ind w:start="2160" w:end="0"/>
              <w:rPr/>
            </w:pPr>
            <w:r>
              <w:rPr/>
              <w:t>Debtor.</w:t>
            </w:r>
          </w:p>
          <w:p>
            <w:pPr>
              <w:pStyle w:val="Normal"/>
              <w:spacing w:lineRule="exact" w:line="228"/>
              <w:rPr/>
            </w:pPr>
            <w:r>
              <w:rPr/>
            </w:r>
          </w:p>
          <w:p>
            <w:pPr>
              <w:pStyle w:val="Normal"/>
              <w:tabs>
                <w:tab w:val="clear" w:pos="720"/>
                <w:tab w:val="right" w:pos="4647" w:leader="none"/>
              </w:tabs>
              <w:spacing w:lineRule="exact" w:line="228"/>
              <w:rPr/>
            </w:pPr>
            <w:r>
              <w:rPr>
                <w:u w:val="single"/>
              </w:rPr>
              <w:t>Federal I.D. No. 94-0742640</w:t>
            </w:r>
            <w:r>
              <w:rPr/>
              <w:tab/>
            </w:r>
          </w:p>
        </w:tc>
        <w:tc>
          <w:tcPr>
            <w:tcW w:w="360" w:type="dxa"/>
            <w:tcBorders>
              <w:top w:val="single" w:sz="6" w:space="0" w:color="FFFFFF"/>
              <w:start w:val="single" w:sz="6" w:space="0" w:color="FFFFFF"/>
              <w:bottom w:val="single" w:sz="6" w:space="0" w:color="FFFFFF"/>
              <w:end w:val="single" w:sz="6" w:space="0" w:color="FFFFFF"/>
            </w:tcBorders>
          </w:tcPr>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p>
            <w:pPr>
              <w:pStyle w:val="Normal"/>
              <w:spacing w:lineRule="exact" w:line="228"/>
              <w:rPr/>
            </w:pPr>
            <w:r>
              <w:rPr/>
              <w:t>)</w:t>
            </w:r>
          </w:p>
        </w:tc>
        <w:tc>
          <w:tcPr>
            <w:tcW w:w="4699" w:type="dxa"/>
            <w:tcBorders>
              <w:top w:val="single" w:sz="6" w:space="0" w:color="FFFFFF"/>
              <w:start w:val="single" w:sz="6" w:space="0" w:color="FFFFFF"/>
              <w:bottom w:val="single" w:sz="6" w:space="0" w:color="FFFFFF"/>
              <w:end w:val="single" w:sz="6" w:space="0" w:color="FFFFFF"/>
            </w:tcBorders>
          </w:tcPr>
          <w:p>
            <w:pPr>
              <w:pStyle w:val="Normal"/>
              <w:spacing w:lineRule="exact" w:line="228"/>
              <w:rPr/>
            </w:pPr>
            <w:r>
              <w:rPr/>
              <w:t>Case No.  01-30923 M</w:t>
            </w:r>
          </w:p>
          <w:p>
            <w:pPr>
              <w:pStyle w:val="Normal"/>
              <w:spacing w:lineRule="exact" w:line="228"/>
              <w:rPr/>
            </w:pPr>
            <w:r>
              <w:rPr/>
            </w:r>
          </w:p>
          <w:p>
            <w:pPr>
              <w:pStyle w:val="Normal"/>
              <w:spacing w:lineRule="exact" w:line="228"/>
              <w:rPr/>
            </w:pPr>
            <w:r>
              <w:rPr/>
              <w:t>Chapter 11 Case</w:t>
            </w:r>
          </w:p>
          <w:p>
            <w:pPr>
              <w:pStyle w:val="Normal"/>
              <w:spacing w:lineRule="exact" w:line="228"/>
              <w:rPr/>
            </w:pPr>
            <w:r>
              <w:rPr/>
            </w:r>
          </w:p>
          <w:p>
            <w:pPr>
              <w:pStyle w:val="Normal"/>
              <w:spacing w:lineRule="exact" w:line="228"/>
              <w:rPr>
                <w:b/>
              </w:rPr>
            </w:pPr>
            <w:r>
              <w:rPr>
                <w:b/>
              </w:rPr>
              <w:t>ENRON ENERGY SERVICES, INC.’S AND ENRON ENERGY MARKETING CORP.’S NOTICE OF MOTION AND MOTION FOR RELIEF FROM STAY AND FOR AUTHORIZATION TO DEPOSIT MONIES WITH THE CALIFORNIA PUBLIC UTILITIES COMMISSION; MEMORANDUM OF POINTS AND AUTHORITIES IN SUPPORT THEREOF [Declaration Of ___________ And Request For Judicial Notice Concurrently Filed Herewith]</w:t>
            </w:r>
          </w:p>
        </w:tc>
      </w:tr>
    </w:tbl>
    <w:p>
      <w:pPr>
        <w:pStyle w:val="Normal"/>
        <w:spacing w:lineRule="exact" w:line="228"/>
        <w:rPr/>
      </w:pPr>
      <w:r>
        <w:fldChar w:fldCharType="begin"/>
      </w:r>
      <w:r>
        <w:rPr/>
        <w:instrText xml:space="preserve">ADVANCE \u2</w:instrText>
      </w:r>
      <w:r>
        <w:rPr/>
      </w:r>
      <w:r>
        <w:rPr/>
        <w:fldChar w:fldCharType="separate"/>
      </w:r>
      <w:r>
        <w:rPr/>
      </w:r>
      <w:r>
        <w:rPr/>
      </w:r>
      <w:r>
        <w:rPr/>
        <w:fldChar w:fldCharType="end"/>
      </w:r>
      <w:r>
        <w:rPr/>
        <w:t xml:space="preserve"> </w:t>
      </w:r>
    </w:p>
    <w:p>
      <w:pPr>
        <w:pStyle w:val="Normal"/>
        <w:tabs>
          <w:tab w:val="clear" w:pos="720"/>
          <w:tab w:val="left" w:pos="4680" w:leader="none"/>
          <w:tab w:val="left" w:pos="6120" w:leader="none"/>
        </w:tabs>
        <w:spacing w:lineRule="exact" w:line="228"/>
        <w:rPr/>
      </w:pPr>
      <w:r>
        <w:rPr/>
        <w:tab/>
      </w:r>
      <w:r>
        <w:rPr>
          <w:b/>
        </w:rPr>
        <w:t>Date:</w:t>
        <w:tab/>
        <w:t>______, 2001</w:t>
      </w:r>
    </w:p>
    <w:p>
      <w:pPr>
        <w:pStyle w:val="Normal"/>
        <w:tabs>
          <w:tab w:val="clear" w:pos="720"/>
          <w:tab w:val="left" w:pos="4680" w:leader="none"/>
          <w:tab w:val="left" w:pos="6120" w:leader="none"/>
        </w:tabs>
        <w:spacing w:lineRule="exact" w:line="228"/>
        <w:rPr>
          <w:b/>
        </w:rPr>
      </w:pPr>
      <w:r>
        <w:rPr>
          <w:b/>
        </w:rPr>
        <w:tab/>
        <w:t>Time:</w:t>
        <w:tab/>
        <w:t>1:30 p.m.</w:t>
      </w:r>
    </w:p>
    <w:p>
      <w:pPr>
        <w:pStyle w:val="Normal"/>
        <w:tabs>
          <w:tab w:val="clear" w:pos="720"/>
          <w:tab w:val="left" w:pos="4680" w:leader="none"/>
          <w:tab w:val="left" w:pos="6120" w:leader="none"/>
        </w:tabs>
        <w:spacing w:lineRule="exact" w:line="228"/>
        <w:rPr>
          <w:b/>
        </w:rPr>
      </w:pPr>
      <w:r>
        <w:rPr>
          <w:b/>
        </w:rPr>
        <w:tab/>
        <w:t>Courtoom:</w:t>
        <w:tab/>
        <w:t>235 Pine Street, 22nd Floor</w:t>
      </w:r>
    </w:p>
    <w:p>
      <w:pPr>
        <w:pStyle w:val="Normal"/>
        <w:tabs>
          <w:tab w:val="clear" w:pos="720"/>
          <w:tab w:val="left" w:pos="4680" w:leader="none"/>
          <w:tab w:val="left" w:pos="6120" w:leader="none"/>
        </w:tabs>
        <w:spacing w:lineRule="exact" w:line="228"/>
        <w:rPr>
          <w:b/>
        </w:rPr>
      </w:pPr>
      <w:r>
        <w:rPr>
          <w:b/>
        </w:rPr>
        <w:tab/>
        <w:tab/>
        <w:t>San Francisco, CA</w:t>
      </w:r>
    </w:p>
    <w:p>
      <w:pPr>
        <w:sectPr>
          <w:headerReference w:type="default" r:id="rId2"/>
          <w:footerReference w:type="default" r:id="rId3"/>
          <w:type w:val="nextPage"/>
          <w:pgSz w:w="12240" w:h="15840"/>
          <w:pgMar w:left="2160" w:right="720" w:gutter="0" w:header="720" w:top="1440" w:footer="432" w:bottom="1440"/>
          <w:pgNumType w:start="1" w:fmt="decimal"/>
          <w:formProt w:val="false"/>
          <w:textDirection w:val="lrTb"/>
          <w:docGrid w:type="default" w:linePitch="360" w:charSpace="0"/>
        </w:sectPr>
        <w:pStyle w:val="Normal"/>
        <w:tabs>
          <w:tab w:val="clear" w:pos="720"/>
          <w:tab w:val="left" w:pos="4680" w:leader="none"/>
          <w:tab w:val="left" w:pos="6120" w:leader="none"/>
        </w:tabs>
        <w:spacing w:lineRule="exact" w:line="228"/>
        <w:rPr>
          <w:b/>
        </w:rPr>
      </w:pPr>
      <w:r>
        <w:rPr>
          <w:b/>
        </w:rPr>
        <w:tab/>
        <w:t>Judge:</w:t>
        <w:tab/>
        <w:t>Hon. Dennis Montali</w:t>
      </w:r>
    </w:p>
    <w:p>
      <w:pPr>
        <w:pStyle w:val="Heading3"/>
        <w:rPr/>
      </w:pPr>
      <w:r>
        <w:rPr/>
        <w:t>NOTICE OF MOTION AND MOTION</w:t>
      </w:r>
    </w:p>
    <w:p>
      <w:pPr>
        <w:pStyle w:val="Heading3"/>
        <w:rPr/>
      </w:pPr>
      <w:r>
        <w:rPr/>
      </w:r>
    </w:p>
    <w:p>
      <w:pPr>
        <w:pStyle w:val="BodyText"/>
        <w:rPr/>
      </w:pPr>
      <w:r>
        <w:rPr/>
        <w:t xml:space="preserve">PLEASE TAKE NOTICE that on _________________, 2001 at 1:30 p.m. or as soon thereafter as the matter may be heard, in the Courtroom of the Honorable Dennis Montali, located at 235 Pine Street, 22nd Floor, San Francisco, Movants ENRON ENERGY SERVICES, INC., a Delaware corporation, ENRON ENERGY MARKETING CORP., a California corporation (hereinafter “EES” and “EEMC”, respectively), will, and hereby do, move this Court for relief from the automatic stay to allow EES and EEMC to file before the California Public Utilities Commission  (“CPUC”) the proposed complaint </w:t>
      </w:r>
      <w:r>
        <w:rPr>
          <w:b/>
        </w:rPr>
        <w:t>[verify]</w:t>
      </w:r>
      <w:r>
        <w:rPr/>
        <w:t xml:space="preserve"> attached to Exhibit A hereto against Pacific Gas and Electric Company (“PG&amp;E “) for the purpose of determining the validity and amount of PX Credits owed to EES and EEMC, and for an order authorizing EES and EEMC to deposit monies representing the amount of disputed bills from PG&amp;E with the CPUC pursuant to Rules 10 and 22 of PG&amp;E’s Tariff.  </w:t>
      </w:r>
    </w:p>
    <w:p>
      <w:pPr>
        <w:pStyle w:val="BodyText"/>
        <w:rPr/>
      </w:pPr>
      <w:r>
        <w:rPr/>
        <w:t xml:space="preserve">This motion is based on this Notice of Motion, the accompanying Memorandum of Points and Authorities in support thereof, the Declaration of ___________, the Request for Judicial Notice, and such other and further evidence and memoranda as may be submitted to the Court prior to the hearing on this matter. </w:t>
      </w:r>
    </w:p>
    <w:p>
      <w:pPr>
        <w:pStyle w:val="Normal"/>
        <w:keepNext w:val="true"/>
        <w:spacing w:lineRule="exact" w:line="228"/>
        <w:rPr/>
      </w:pPr>
      <w:r>
        <w:rPr/>
        <w:t xml:space="preserve">Dated:  </w:t>
      </w:r>
      <w:r>
        <w:rPr/>
        <w:fldChar w:fldCharType="begin"/>
      </w:r>
      <w:r>
        <w:rPr/>
        <w:instrText xml:space="preserve"> DATE \@"MMMM\ d', 'yyyy" </w:instrText>
      </w:r>
      <w:r>
        <w:rPr/>
        <w:fldChar w:fldCharType="separate"/>
      </w:r>
      <w:r>
        <w:rPr/>
        <w:t>September 28, 2025</w:t>
      </w:r>
      <w:r>
        <w:rPr/>
        <w:fldChar w:fldCharType="end"/>
      </w:r>
    </w:p>
    <w:tbl>
      <w:tblPr>
        <w:tblW w:w="5310" w:type="dxa"/>
        <w:jc w:val="end"/>
        <w:tblInd w:w="0" w:type="dxa"/>
        <w:tblLayout w:type="fixed"/>
        <w:tblCellMar>
          <w:top w:w="0" w:type="dxa"/>
          <w:start w:w="0" w:type="dxa"/>
          <w:bottom w:w="0" w:type="dxa"/>
          <w:end w:w="0" w:type="dxa"/>
        </w:tblCellMar>
      </w:tblPr>
      <w:tblGrid>
        <w:gridCol w:w="180"/>
        <w:gridCol w:w="5130"/>
      </w:tblGrid>
      <w:tr>
        <w:trPr/>
        <w:tc>
          <w:tcPr>
            <w:tcW w:w="180" w:type="dxa"/>
            <w:tcBorders/>
          </w:tcPr>
          <w:p>
            <w:pPr>
              <w:pStyle w:val="Normal"/>
              <w:spacing w:lineRule="exact" w:line="228"/>
              <w:rPr/>
            </w:pPr>
            <w:r>
              <w:rPr/>
              <w:t xml:space="preserve"> </w:t>
            </w:r>
          </w:p>
        </w:tc>
        <w:tc>
          <w:tcPr>
            <w:tcW w:w="5130" w:type="dxa"/>
            <w:tcBorders>
              <w:bottom w:val="single" w:sz="4" w:space="0" w:color="000000"/>
            </w:tcBorders>
          </w:tcPr>
          <w:p>
            <w:pPr>
              <w:pStyle w:val="Normal"/>
              <w:spacing w:lineRule="exact" w:line="228"/>
              <w:rPr/>
            </w:pPr>
            <w:r>
              <w:rPr/>
              <w:t xml:space="preserve">LeBOEUF, LAMB, GREENE &amp; MacRAE, LLP </w:t>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tc>
      </w:tr>
      <w:tr>
        <w:trPr/>
        <w:tc>
          <w:tcPr>
            <w:tcW w:w="180" w:type="dxa"/>
            <w:tcBorders/>
          </w:tcPr>
          <w:p>
            <w:pPr>
              <w:pStyle w:val="Normal"/>
              <w:snapToGrid w:val="false"/>
              <w:spacing w:lineRule="exact" w:line="228"/>
              <w:rPr/>
            </w:pPr>
            <w:r>
              <w:rPr/>
            </w:r>
          </w:p>
        </w:tc>
        <w:tc>
          <w:tcPr>
            <w:tcW w:w="5130" w:type="dxa"/>
            <w:tcBorders/>
          </w:tcPr>
          <w:p>
            <w:pPr>
              <w:pStyle w:val="Normal"/>
              <w:spacing w:lineRule="exact" w:line="228"/>
              <w:rPr/>
            </w:pPr>
            <w:r>
              <w:rPr/>
              <w:t xml:space="preserve">Carl A. Eklund </w:t>
            </w:r>
          </w:p>
          <w:p>
            <w:pPr>
              <w:pStyle w:val="Normal"/>
              <w:spacing w:lineRule="exact" w:line="228"/>
              <w:rPr/>
            </w:pPr>
            <w:r>
              <w:rPr/>
              <w:t>Attorneys for Movants ENRON ENERGY SERVICES, INC., ENRON ENERGY MARKETING GROUP</w:t>
            </w:r>
          </w:p>
        </w:tc>
      </w:tr>
    </w:tbl>
    <w:p>
      <w:pPr>
        <w:pStyle w:val="Heading3"/>
        <w:rPr/>
      </w:pPr>
      <w:r>
        <w:rPr/>
      </w:r>
      <w:r>
        <w:br w:type="page"/>
      </w:r>
    </w:p>
    <w:p>
      <w:pPr>
        <w:pStyle w:val="Heading3"/>
        <w:rPr/>
      </w:pPr>
      <w:r>
        <w:rPr/>
        <w:t xml:space="preserve">MEMORANDUM OF POINTS AND AUTHORITIES IN SUPPORT OF </w:t>
      </w:r>
    </w:p>
    <w:p>
      <w:pPr>
        <w:pStyle w:val="Heading3"/>
        <w:rPr/>
      </w:pPr>
      <w:r>
        <w:rPr/>
        <w:t>ENRON ENERGY SERVICES, INC.’S AND ENRON ENERGY MARKETING CORP.’S MOTION FOR RELIEF FROM STAY AND FOR AUTHORIZATION TO DEPOSIT MONIES WITH THE CALIFORNIA PUBLIC UTILITIES COMMISSION</w:t>
      </w:r>
    </w:p>
    <w:p>
      <w:pPr>
        <w:pStyle w:val="Heading3"/>
        <w:rPr/>
      </w:pPr>
      <w:r>
        <w:rPr/>
      </w:r>
    </w:p>
    <w:p>
      <w:pPr>
        <w:pStyle w:val="Heading3"/>
        <w:rPr/>
      </w:pPr>
      <w:r>
        <w:rPr/>
      </w:r>
    </w:p>
    <w:p>
      <w:pPr>
        <w:pStyle w:val="Heading3"/>
        <w:rPr/>
      </w:pPr>
      <w:r>
        <w:rPr/>
        <w:t>INTRODUCTION</w:t>
      </w:r>
    </w:p>
    <w:p>
      <w:pPr>
        <w:pStyle w:val="Heading3"/>
        <w:rPr/>
      </w:pPr>
      <w:r>
        <w:rPr/>
      </w:r>
    </w:p>
    <w:p>
      <w:pPr>
        <w:pStyle w:val="BodyText"/>
        <w:rPr/>
      </w:pPr>
      <w:r>
        <w:rPr/>
        <w:t xml:space="preserve">This motion concerns a dispute between PG&amp;E and EES and EEMC, two energy service providers (“ESPs”), over credits which PG&amp;E unilaterally has removed from billing statements issued to the EES and EEMC.  EES and EEMC sell energy to California customers in retail transactions (commonly referred to as "Direct Access") authorized by the Legislature and regulated by the CPUC.  PG&amp;E is responsible for the transmission and distribution of energy to EES’ and EEMC’s customers.  </w:t>
      </w:r>
    </w:p>
    <w:p>
      <w:pPr>
        <w:pStyle w:val="BodyText"/>
        <w:rPr/>
      </w:pPr>
      <w:r>
        <w:rPr/>
        <w:t xml:space="preserve">By this motion, EES and EEMC seek relief from the automatic stay in order to raise with the CPUC, the regulator of the Direct Access program, PG&amp;E's unilateral removal of accrued credits from EES's and EEMC's billing statements and to pursue bill dispute remedies provided under PG&amp;E’s Direct Access tariffs which allow EES and EEMC to deposit the disputed PG&amp;E bill amounts with the CPUC in lieu of paying PG&amp;E.  As set forth more fully below, good cause exists for lifting the stay because permissive abstention under 28 U.S.C. § 1334(c)(1) is appropriate.  Where permissive abstention is appropriate, "cause" for relief from stay exists under 11 U.S.C. § 362(d)(1).  </w:t>
      </w:r>
      <w:r>
        <w:rPr>
          <w:u w:val="single"/>
        </w:rPr>
        <w:t>See</w:t>
      </w:r>
      <w:r>
        <w:rPr/>
        <w:t xml:space="preserve">, </w:t>
      </w:r>
      <w:r>
        <w:rPr>
          <w:i/>
        </w:rPr>
        <w:t>Christensen v. In re Tucson Estates, Inc.</w:t>
      </w:r>
      <w:r>
        <w:rPr/>
        <w:t>, 912 F.2d 1162, 1166 (9th Cir. 1996).</w:t>
      </w:r>
    </w:p>
    <w:p>
      <w:pPr>
        <w:pStyle w:val="Heading1"/>
        <w:numPr>
          <w:ilvl w:val="0"/>
          <w:numId w:val="0"/>
        </w:numPr>
        <w:spacing w:lineRule="exact" w:line="455"/>
        <w:ind w:hanging="0" w:start="0"/>
        <w:jc w:val="center"/>
        <w:rPr>
          <w:b/>
        </w:rPr>
      </w:pPr>
      <w:r>
        <w:rPr>
          <w:b/>
        </w:rPr>
        <w:t>FACTUAL BACKGROUND</w:t>
      </w:r>
    </w:p>
    <w:p>
      <w:pPr>
        <w:pStyle w:val="HeadingA"/>
        <w:numPr>
          <w:ilvl w:val="0"/>
          <w:numId w:val="3"/>
        </w:numPr>
        <w:ind w:hanging="0" w:start="0"/>
        <w:rPr/>
      </w:pPr>
      <w:r>
        <w:rPr/>
        <w:t>Direct Access and the PX Credit</w:t>
      </w:r>
    </w:p>
    <w:p>
      <w:pPr>
        <w:pStyle w:val="BodyText"/>
        <w:rPr/>
      </w:pPr>
      <w:r>
        <w:rPr/>
        <w:t>In 1996, California’s electric industry was restructured through the passage of Assembly Bill 1890 (“AB 1890”).  One feature of the restructuring required by passage of AB 1890 was an effort by the California Legislature and CPUC to encourage end-use customers, including commercial concerns, to buy power from suppliers other than their franchised local utility through what came to be called “Direct Access.”</w:t>
      </w:r>
      <w:r>
        <w:rPr>
          <w:rStyle w:val="FootnoteCharacters"/>
          <w:rStyle w:val="FootnoteReference"/>
        </w:rPr>
        <w:footnoteReference w:id="2"/>
      </w:r>
      <w:r>
        <w:rPr/>
        <w:t xml:space="preserve">  </w:t>
      </w:r>
    </w:p>
    <w:p>
      <w:pPr>
        <w:pStyle w:val="BodyText"/>
        <w:rPr/>
      </w:pPr>
      <w:r>
        <w:rPr/>
        <w:t>Under Direct Access, ESPs (such as EES and EEMC) provide the energy component (the “Generation Component”) of an end-use customer’s electric service and the customer’s local utility (such as PG&amp;E) provides the services necessary to transmit and distribute the energy across its system of power lines to the Direct Access customer (the “T&amp;D Component”).  Under AB 1890, customers who did not elect to contract for the Generation Component with an ESP continued to receive fully bundled service (the Generation Component and the T&amp;D Component) from their utility at a tariff rate that was “frozen” for a specified time period depending upon the happening of certain events (the “Frozen Tariff Rate”).</w:t>
      </w:r>
    </w:p>
    <w:p>
      <w:pPr>
        <w:pStyle w:val="BodyText"/>
        <w:rPr/>
      </w:pPr>
      <w:r>
        <w:rPr/>
        <w:t>In order for Direct Access to work, the Generation Component must be “unbundled” from the T&amp;D Component so that the Direct Access customers pay the utility only for the T&amp;D Component (which payment includes other charges authorized by the CPUC to be collected in connection with the T&amp;D Component, such as competitive transition charges or “CTC” and charges on account of public benefit programs - collectively, “T&amp;D Charges”) and pay the ESP only for the Generation Component (the “Generation Charges”).</w:t>
      </w:r>
    </w:p>
    <w:p>
      <w:pPr>
        <w:pStyle w:val="BodyText"/>
        <w:rPr/>
      </w:pPr>
      <w:r>
        <w:rPr/>
        <w:t>To that end, in Order 97-08-056, the CPUC determined that, since nearly all wholesale energy procurement transactions under Direct Access in California were intended to take place through the California Power Exchange (the “PX”), the Generation Component would be calculated with reference to the PX clearing prices and would appear on each PG&amp;E bill for a Direct Access customer account in the form of a credit against the Frozen Tariff Rate (the “PX Credit”).</w:t>
      </w:r>
      <w:r>
        <w:rPr>
          <w:rStyle w:val="FootnoteCharacters"/>
          <w:rStyle w:val="FootnoteReference"/>
        </w:rPr>
        <w:footnoteReference w:id="3"/>
      </w:r>
      <w:r>
        <w:rPr/>
        <w:t xml:space="preserve">  The PX Credit is intended to generally reflect the cost of energy, depending on the class of service,  based on PX closing prices during a particular billing period. PG&amp;E typically identifies this credit in its bills to ESPs as a “Direct Access Energy Credit.”</w:t>
      </w:r>
    </w:p>
    <w:p>
      <w:pPr>
        <w:pStyle w:val="BodyText"/>
        <w:rPr/>
      </w:pPr>
      <w:r>
        <w:rPr/>
        <w:t>Initially, the CPUC provided, in Resolution E-3510, entered in December, 1997, that the amount of the PX Credit could never exceed the total amount of PG&amp;E’s bill for otherwise applicable frozen tariff charges, such that, if it did, the bill from PG&amp;E would simply be zero.</w:t>
      </w:r>
      <w:r>
        <w:rPr>
          <w:rStyle w:val="FootnoteCharacters"/>
          <w:rStyle w:val="FootnoteReference"/>
        </w:rPr>
        <w:footnoteReference w:id="4"/>
      </w:r>
      <w:r>
        <w:rPr/>
        <w:t xml:space="preserve">  On June 10, 1999, however, the CPUC entered an order (Decision 99-06-058), attached as Exhibit C to the accompanying Request for Judicial Notice, based on stipulations (the “PX Stipulation and Order”) between PG&amp;E and Southern California Edison (“SCE”) on the one hand, and the Western Power Trading Forum and Enron Corp.(the ultimate parent of EES and EEMC) on the other hand, providing that when the PX Credit applicable to a Direct Access account exceeded the otherwise applicable frozen tariff rate for that account, PG&amp;E and SCE would refund in the form of a credit the full amount the difference (hereinafter referred to as “surplus PX Credits”), thus eliminating the zero bill limitation.</w:t>
      </w:r>
    </w:p>
    <w:p>
      <w:pPr>
        <w:pStyle w:val="HeadingA"/>
        <w:numPr>
          <w:ilvl w:val="0"/>
          <w:numId w:val="3"/>
        </w:numPr>
        <w:ind w:hanging="0" w:start="0"/>
        <w:rPr/>
      </w:pPr>
      <w:r>
        <w:rPr/>
        <w:t>Consolidated ESP Billing and Fixed Price Contracts</w:t>
      </w:r>
    </w:p>
    <w:p>
      <w:pPr>
        <w:pStyle w:val="BodyText"/>
        <w:rPr/>
      </w:pPr>
      <w:r>
        <w:rPr/>
        <w:t>Direct Access allows ESPs to strike whatever bargain they can with end-use customers.  EES and EEMC have entered into energy sales contracts with Direct Access accounts (“Direct Access Contracts”) under which the customers typically receive a discount off the Frozen Tariff Rate of PG&amp;E.  PG&amp;E’s Direct Access tariff allows ESPs to select one of three billing options for their Direct Access accounts, either consolidated PG&amp;E billing (one bill from PG&amp;E for all charges), consolidated ESP billing (one bill from ESP for all charges) or separate PG&amp;E and ESP bills (PG&amp;E and the ESP send the customer separate bills for the T&amp;D Component and the Generation Component, respectively).</w:t>
      </w:r>
      <w:r>
        <w:rPr>
          <w:rStyle w:val="FootnoteCharacters"/>
          <w:rStyle w:val="FootnoteReference"/>
        </w:rPr>
        <w:footnoteReference w:id="5"/>
      </w:r>
      <w:r>
        <w:rPr/>
        <w:t xml:space="preserve">  EES and EEMC have elected consolidated ESP billing for all of their Direct Access accounts. </w:t>
      </w:r>
    </w:p>
    <w:p>
      <w:pPr>
        <w:pStyle w:val="BodyText"/>
        <w:rPr/>
      </w:pPr>
      <w:r>
        <w:rPr/>
        <w:t xml:space="preserve">In California, under consolidated ESP billing, it is the ESP, and not the Direct Access customer, that is ultimately liable to PG&amp;E for the T&amp;D Charges, regardless of whether the Direct Access customer pays or does not pay the ESP all or any portion of the consolidated ESP bill.  Thus, for each billing period during the term of a Direct Access Contract, EES and EEMC are to receive a bill from PG&amp;E for its charges, net of the PX Credit, which EES or EEMC is obligated to pay, and EES and EEMC send a bill to their Direct Access accounts for EES’s and EEMC’s charges, which the customer must pay.  The EES and EEMC Direct Access Contracts, which typically afford the customer a fixed discount off the Frozen Tariff Rate, thus operate to reduce the customer’s total costs of electric service below what the customer would have paid to PG&amp;E and at the same time shield the customer from any further exposure to price volatility in the energy markets for the term of the contract.  EES and EEMC assume the risks and potential rewards of such price volatility, including gains or losses resulting from upward or downward movement of the PX Credit from time to time. </w:t>
      </w:r>
    </w:p>
    <w:p>
      <w:pPr>
        <w:pStyle w:val="HeadingA"/>
        <w:keepNext w:val="true"/>
        <w:widowControl w:val="false"/>
        <w:numPr>
          <w:ilvl w:val="0"/>
          <w:numId w:val="3"/>
        </w:numPr>
        <w:ind w:hanging="0" w:start="0"/>
        <w:rPr/>
      </w:pPr>
      <w:r>
        <w:rPr/>
        <w:t>PG&amp;E’s Refusal to Recognize Surplus PX Credits</w:t>
      </w:r>
    </w:p>
    <w:p>
      <w:pPr>
        <w:pStyle w:val="BodyText"/>
        <w:rPr/>
      </w:pPr>
      <w:r>
        <w:rPr/>
        <w:t xml:space="preserve">Starting in May or June 2000, the cost of energy purchased by PG&amp;E from the PX increased dramatically, resulting in proportionally significant increases in the amount of the PX Credit.  As the amount of the PX Credit increased, it began to exceed the amount of the frozen bundled charges due PG&amp;E in connection with EES’ and EEMC’s Direct Access Accounts and thus created surplus PX Credits.  Under Decision 99-06-058, PG&amp;E was obligated either to refund these surplus PX Credits to EES and EEMC or credit them against future charges. </w:t>
      </w:r>
    </w:p>
    <w:p>
      <w:pPr>
        <w:pStyle w:val="BodyText"/>
        <w:rPr/>
      </w:pPr>
      <w:r>
        <w:rPr/>
        <w:t>Initially, when circumstances created a surplus PX Credit, PG&amp;E made cash payments to ESPs.  According to a PG&amp;E filing with the Securities and Exchange Commission, PG&amp;E paid approximately $39 million in PX Credit payment to ESPs.</w:t>
      </w:r>
      <w:r>
        <w:rPr>
          <w:rStyle w:val="FootnoteCharacters"/>
          <w:rStyle w:val="FootnoteReference"/>
        </w:rPr>
        <w:footnoteReference w:id="6"/>
      </w:r>
      <w:r>
        <w:rPr/>
        <w:t xml:space="preserve">  Although EES and EEMC have not received payments from PG&amp;E, PG&amp;E’s bills to EES and EEMC identified significant amounts of surplus PX Credits to be paid or applied against future bills.</w:t>
      </w:r>
      <w:r>
        <w:rPr>
          <w:rStyle w:val="FootnoteCharacters"/>
          <w:rStyle w:val="FootnoteReference"/>
        </w:rPr>
        <w:footnoteReference w:id="7"/>
      </w:r>
      <w:r>
        <w:rPr/>
        <w:t xml:space="preserve"> As of the date of filing of this Motion, the aggregate amount of accrued but unpaid PX Credits due EES from PG&amp;E is $200.4 million.  Similarly, EEMC is due $165.5 million from PG&amp;E in accrued but unpaid PX Credits.</w:t>
      </w:r>
      <w:r>
        <w:rPr>
          <w:rStyle w:val="FootnoteCharacters"/>
          <w:rStyle w:val="FootnoteReference"/>
        </w:rPr>
        <w:footnoteReference w:id="8"/>
      </w:r>
    </w:p>
    <w:p>
      <w:pPr>
        <w:pStyle w:val="BodyText"/>
        <w:rPr/>
      </w:pPr>
      <w:r>
        <w:rPr/>
        <w:t>PG&amp;E has admitted to EES that it owes EES accrued but unpaid surplus PX Credits.   In December 2000, PG&amp;E corresponded with EES and promised to make arrangements for payment to EES of $69,708,023 as a partial payment of the surplus PX Credits which had accrued as of November 20, 2000.  ___________ Dec., Exh. D.  Notwithstanding its admission that it owed EES surplus PX Credits and its commitment to pay EES at least some of them, PG&amp;E then failed to follow through on its commitment, changed its position and refused to pay EES any surplus PX Credits.</w:t>
      </w:r>
    </w:p>
    <w:p>
      <w:pPr>
        <w:pStyle w:val="BodyText"/>
        <w:rPr/>
      </w:pPr>
      <w:r>
        <w:rPr/>
        <w:t>Subsequent to the filing of its Chapter 11 petition, PG&amp;E has begun to bill EES and EEMC for T&amp;D Charges without crediting existing surplus PX Credits against those charges.</w:t>
      </w:r>
      <w:r>
        <w:rPr>
          <w:rStyle w:val="FootnoteCharacters"/>
          <w:rStyle w:val="FootnoteReference"/>
        </w:rPr>
        <w:footnoteReference w:id="9"/>
      </w:r>
      <w:r>
        <w:rPr/>
        <w:t xml:space="preserve">  </w:t>
      </w:r>
      <w:r>
        <w:rPr>
          <w:u w:val="single"/>
        </w:rPr>
        <w:t>See</w:t>
      </w:r>
      <w:r>
        <w:rPr/>
        <w:t xml:space="preserve"> ___________ Dec., Exhibit  E.  </w:t>
      </w:r>
      <w:r>
        <w:rPr>
          <w:b/>
        </w:rPr>
        <w:t>[need to get exemplar bill from EES.]</w:t>
      </w:r>
      <w:r>
        <w:rPr/>
        <w:t xml:space="preserve">   Prior to January 2001, PG&amp;E’s bills to EES and EEMC reflected the amount of the accrued but unpaid surplus PX Credits due EES and EEMC.  However, post-petition bills for current services no longer reflect the accrued but unpaid surplus PX Credits. </w:t>
      </w:r>
      <w:r>
        <w:rPr>
          <w:u w:val="single"/>
        </w:rPr>
        <w:t>See</w:t>
      </w:r>
      <w:r>
        <w:rPr/>
        <w:t xml:space="preserve"> ___________ Dec., Exhibit  F.  PG&amp;E has informed EES and EEMC that it expects full payment from EES and EEMC for current and future direct access charges, regardless of the existence of the accrued but unpaid PX Credits.</w:t>
      </w:r>
    </w:p>
    <w:p>
      <w:pPr>
        <w:pStyle w:val="BodyText"/>
        <w:rPr/>
      </w:pPr>
      <w:r>
        <w:rPr/>
        <w:t xml:space="preserve">Once the credits are restored, EES and EEMC believe they are entitled to recoup the accrued but unpaid surplus PX Credits against current and future direct access charges billed by PG&amp;E.  The recoupment arises from the same transaction or relationship that gives rise to PG&amp;E’s post-petition claim for direct access charges from EES and EEMC, and, as such, is exempt from the automatic stay under the doctrine of equitable recoupment.  </w:t>
      </w:r>
      <w:r>
        <w:rPr>
          <w:i/>
        </w:rPr>
        <w:t xml:space="preserve">Newbery Corp. v. Fireman’s Fund Ins. Co., </w:t>
      </w:r>
      <w:r>
        <w:rPr/>
        <w:t>95 F.3d 1392 (9</w:t>
      </w:r>
      <w:r>
        <w:rPr>
          <w:vertAlign w:val="superscript"/>
        </w:rPr>
        <w:t>th</w:t>
      </w:r>
      <w:r>
        <w:rPr/>
        <w:t xml:space="preserve"> Cir. 1996).</w:t>
      </w:r>
    </w:p>
    <w:p>
      <w:pPr>
        <w:pStyle w:val="BodyText"/>
        <w:rPr/>
      </w:pPr>
      <w:r>
        <w:rPr/>
        <w:t>EES and EEMC have the same controversy with SCE, which is also a “public utility” in California and, among other activities, is engaged in the transmission and distribution of electricity within central California.  EES and EEMC executed identical Energy Service Provider Agreement with SCE, setting out the business relationship between the parties.</w:t>
      </w:r>
    </w:p>
    <w:p>
      <w:pPr>
        <w:pStyle w:val="BodyText"/>
        <w:rPr/>
      </w:pPr>
      <w:r>
        <w:rPr/>
        <w:t>On January 19, 2001, EES AND EEMC filed complaints against PG&amp;E and SCE in the CPUC.  Request for Judicial Notice, Exh. D and E.  The complaints allege that PG&amp;E and SCE, in violation of the terms and conditions of their Energy Service Provider Service Agreements with EES and EEMC and the applicable provisions of their CPUC approved tariffs, failed to remit to EES and EEMC the surplus PX Credits owing on the accounts of EES’ and EEMC’s Direct Access customers.</w:t>
      </w:r>
    </w:p>
    <w:p>
      <w:pPr>
        <w:pStyle w:val="BodyText"/>
        <w:rPr/>
      </w:pPr>
      <w:r>
        <w:rPr/>
        <w:t>EES and EEMC have both notified PG&amp;E and SCE that the bills received in August 2001 are disputed and have requested from both PG&amp;E and SCE that the PX Credits be restored to the bills for each account and meter.  To date, PG&amp;E and SCE have refused.</w:t>
      </w:r>
    </w:p>
    <w:p>
      <w:pPr>
        <w:pStyle w:val="BodyText"/>
        <w:rPr/>
      </w:pPr>
      <w:r>
        <w:rPr/>
        <w:t xml:space="preserve">EES and EEMC have filed a Complaint with the CPUC against SCE to invoke the provisions of Rules 10 and 22 of SCE’s tariffs concerning disputed bills.  These rules, copies of which are attached as Exhibit F to the Request for Judicial Notice, provides for a procedure for a review of the complaint by the CPUC.  This procedure also provides that if a deposit of the disputed bill amount is made with the CPUC, that service shall not be disconnected pending the outcome of the Commission’s review.  The issues set out in the Complaint against SCE to be decided by the CPUC are:  (a) to order SCE to reinstate the PX Credit for each account and meter bill; (b) determine the ownership of accrued credits and payments to be made by SCE </w:t>
      </w:r>
      <w:r>
        <w:rPr>
          <w:b/>
        </w:rPr>
        <w:t>[IS THIS IN THE COMPLAINT?]</w:t>
      </w:r>
      <w:r>
        <w:rPr/>
        <w:t>; (c) order that SCE may not disconnect EES or EEMC customers; and (d) declaration that money deposited by EES and EEMC shall be returned to them and there is no need for future deposits concerning these disputed bills.  EES and EEMC seek, by this motion, to obtain relief from stay to commence a similar proceeding against PG&amp;E before the CPUC.</w:t>
      </w:r>
    </w:p>
    <w:p>
      <w:pPr>
        <w:pStyle w:val="Heading3"/>
        <w:rPr/>
      </w:pPr>
      <w:r>
        <w:rPr/>
        <w:t>ARGUMENT</w:t>
      </w:r>
    </w:p>
    <w:p>
      <w:pPr>
        <w:pStyle w:val="Heading3"/>
        <w:rPr/>
      </w:pPr>
      <w:r>
        <w:rPr/>
      </w:r>
    </w:p>
    <w:p>
      <w:pPr>
        <w:pStyle w:val="Normal"/>
        <w:rPr>
          <w:b/>
        </w:rPr>
      </w:pPr>
      <w:r>
        <w:rPr>
          <w:b/>
        </w:rPr>
        <w:t>A.</w:t>
        <w:tab/>
      </w:r>
      <w:r>
        <w:rPr>
          <w:b/>
          <w:u w:val="single"/>
        </w:rPr>
        <w:t>Cause Exists To Grant Relief To EES And EEMC From The Automatic Stay</w:t>
      </w:r>
    </w:p>
    <w:p>
      <w:pPr>
        <w:pStyle w:val="BodyText"/>
        <w:rPr/>
      </w:pPr>
      <w:r>
        <w:rPr/>
        <w:t xml:space="preserve">Cause exists pursuant to 11 U.S.C. § 362(d)(1) to grant EES and EEMC relief from the stay and proceed against PG&amp;E at the CPUC as provided above.  </w:t>
      </w:r>
    </w:p>
    <w:p>
      <w:pPr>
        <w:pStyle w:val="BodyText"/>
        <w:rPr/>
      </w:pPr>
      <w:r>
        <w:rPr/>
        <w:t xml:space="preserve">Although “cause” is not defined in the bankruptcy code, case law has developed the elements commonly utilized in determining whether relief from the stay is appropriate.  The Ninth Circuit in </w:t>
      </w:r>
      <w:r>
        <w:rPr>
          <w:i/>
        </w:rPr>
        <w:t>In re Tucson Estates Inc</w:t>
      </w:r>
      <w:r>
        <w:rPr/>
        <w:t>.</w:t>
      </w:r>
      <w:r>
        <w:rPr>
          <w:i/>
        </w:rPr>
        <w:t xml:space="preserve"> </w:t>
      </w:r>
      <w:r>
        <w:rPr/>
        <w:t xml:space="preserve">observed that “cause” is determined on a case-by-case basis. </w:t>
      </w:r>
      <w:r>
        <w:rPr>
          <w:i/>
        </w:rPr>
        <w:t xml:space="preserve"> Christensen v. Tucson Estates, Inc. (In re Tucson Estates Inc</w:t>
      </w:r>
      <w:r>
        <w:rPr/>
        <w:t>.), 912 F.2d 1162, 1166 (9</w:t>
      </w:r>
      <w:r>
        <w:rPr>
          <w:vertAlign w:val="superscript"/>
        </w:rPr>
        <w:t>th</w:t>
      </w:r>
      <w:r>
        <w:rPr/>
        <w:t xml:space="preserve"> Cir. 1990) (citing </w:t>
      </w:r>
      <w:r>
        <w:rPr>
          <w:i/>
        </w:rPr>
        <w:t xml:space="preserve">In re MacDonald, </w:t>
      </w:r>
      <w:r>
        <w:rPr/>
        <w:t>755 F.2d 715, 717 (9</w:t>
      </w:r>
      <w:r>
        <w:rPr>
          <w:vertAlign w:val="superscript"/>
        </w:rPr>
        <w:t>th</w:t>
      </w:r>
      <w:r>
        <w:rPr/>
        <w:t xml:space="preserve"> Cir. 1985)). Where a bankruptcy court finds that it will abstain from deciding a matter in favor of another tribunal hearing the same issues, cause may exist for lifting the stay.  </w:t>
      </w:r>
      <w:r>
        <w:rPr>
          <w:i/>
        </w:rPr>
        <w:t>In re Tucson Estates Inc</w:t>
      </w:r>
      <w:r>
        <w:rPr/>
        <w:t>., 912 F.2d at 1166 (citing</w:t>
      </w:r>
      <w:r>
        <w:rPr>
          <w:i/>
        </w:rPr>
        <w:t xml:space="preserve"> In re Castle Rock Properties, </w:t>
      </w:r>
      <w:r>
        <w:rPr/>
        <w:t>781 F.2d 159, 163 (9</w:t>
      </w:r>
      <w:r>
        <w:rPr>
          <w:vertAlign w:val="superscript"/>
        </w:rPr>
        <w:t>th</w:t>
      </w:r>
      <w:r>
        <w:rPr/>
        <w:t xml:space="preserve"> Cir. 1986)). </w:t>
      </w:r>
    </w:p>
    <w:p>
      <w:pPr>
        <w:pStyle w:val="BodyText"/>
        <w:rPr/>
      </w:pPr>
      <w:r>
        <w:rPr/>
        <w:t>Permissive abstention is set forth in 28 U.S.C. § 1334(c)(1).  The statute provides that “[n]othing in this section prevents a district court in the interest of justice, or in the interest of comity with State courts or respect for State law, from abstaining from hearing a particular proceeding arising under title 11 or arising in or related to a case under title 11.” 28 U.S.C. § 1334(c)(1).</w:t>
      </w:r>
    </w:p>
    <w:p>
      <w:pPr>
        <w:pStyle w:val="BodyText"/>
        <w:rPr/>
      </w:pPr>
      <w:r>
        <w:rPr/>
        <w:t xml:space="preserve">The Ninth Circuit cited with approval the twelve factors to be considered in abstention as set forth in </w:t>
      </w:r>
      <w:r>
        <w:rPr>
          <w:i/>
        </w:rPr>
        <w:t>In re Republic Reader’s Serv., Inc</w:t>
      </w:r>
      <w:r>
        <w:rPr/>
        <w:t xml:space="preserve">. </w:t>
      </w:r>
      <w:r>
        <w:rPr>
          <w:i/>
        </w:rPr>
        <w:t>In re Tucson Estates Inc</w:t>
      </w:r>
      <w:r>
        <w:rPr/>
        <w:t xml:space="preserve">., 912 F.2d at 1167 (quoting </w:t>
      </w:r>
      <w:r>
        <w:rPr>
          <w:i/>
        </w:rPr>
        <w:t>In re Republic Reader’s Serv., Inc</w:t>
      </w:r>
      <w:r>
        <w:rPr/>
        <w:t xml:space="preserve">., 81 B.R. 422, 429 (Bankr. S.D. Tex. 1987)).  In that case, Judge Mahoney held the factors to be considered for the court in deciding the issue of permissive abstention are:  </w:t>
      </w:r>
    </w:p>
    <w:p>
      <w:pPr>
        <w:pStyle w:val="BlockText"/>
        <w:rPr/>
      </w:pPr>
      <w:r>
        <w:rPr/>
        <w:t>(1) the effect or lack thereof on the efficient administration of the estate if a Court recommends abstention, (2) the extent to which state law issues predominate over bankruptcy issues, (3) the difficulty or unsettled nature of the applicable law, (4) the presence of a related proceeding commenced in state court or other nonbankruptcy court, (5) the jurisdictional basis, if any, other than 28 U.S.C. § 1334, (6) the degree of relatedness or remoteness of the proceeding to the main bankruptcy case, (7) the substance rather than form of an asserted “core” proceeding, (8) the feasibility of severing state law claims from core bankruptcy matters to allow judgments to be entered in state court with enforcement left to the bankruptcy court, (9) the burden of [the bankruptcy court’s] docket, (10) the likelihood that the commencement of the proceeding in bankruptcy court involves forum shopping by one of the parties, (11) the existence of a right to a jury trial, and (12) the presence in the proceeding of nondebtor parties.</w:t>
      </w:r>
    </w:p>
    <w:p>
      <w:pPr>
        <w:pStyle w:val="BlockText"/>
        <w:rPr/>
      </w:pPr>
      <w:r>
        <w:rPr/>
      </w:r>
    </w:p>
    <w:p>
      <w:pPr>
        <w:pStyle w:val="Normal"/>
        <w:rPr/>
      </w:pPr>
      <w:r>
        <w:rPr/>
        <w:t>In re Republic Reader’s Serv., Inc., 81 B.R. at 429.</w:t>
      </w:r>
    </w:p>
    <w:p>
      <w:pPr>
        <w:pStyle w:val="BodyText"/>
        <w:rPr/>
      </w:pPr>
      <w:r>
        <w:rPr/>
        <w:t xml:space="preserve">The following factors adopted by the Court in </w:t>
      </w:r>
      <w:r>
        <w:rPr>
          <w:i/>
        </w:rPr>
        <w:t xml:space="preserve">In re Tucson Estates Inc. </w:t>
      </w:r>
      <w:r>
        <w:rPr/>
        <w:t xml:space="preserve">are satisfied in connection with this motion:     </w:t>
      </w:r>
    </w:p>
    <w:p>
      <w:pPr>
        <w:pStyle w:val="List1"/>
        <w:numPr>
          <w:ilvl w:val="0"/>
          <w:numId w:val="2"/>
        </w:numPr>
        <w:tabs>
          <w:tab w:val="clear" w:pos="720"/>
        </w:tabs>
        <w:ind w:hanging="0" w:start="0"/>
        <w:rPr/>
      </w:pPr>
      <w:r>
        <w:rPr/>
        <w:t xml:space="preserve">Allowing the issues concerning the PX Credit to go to the CPUC would permit the effective administration of the estate by having a specialized tribunal decide these issues which are peculiar to the regulatory utility industry.  </w:t>
      </w:r>
    </w:p>
    <w:p>
      <w:pPr>
        <w:pStyle w:val="List1"/>
        <w:numPr>
          <w:ilvl w:val="0"/>
          <w:numId w:val="2"/>
        </w:numPr>
        <w:tabs>
          <w:tab w:val="clear" w:pos="720"/>
        </w:tabs>
        <w:ind w:hanging="0" w:start="0"/>
        <w:rPr/>
      </w:pPr>
      <w:r>
        <w:rPr/>
        <w:t>The state law issues to be decided by CPUC predominate over any bankruptcy issues as to the allowability and enforceability of the PX Credit.  Also because the PX Credit is a product of the statutes and regulations governing the CPUC, and arises only in connection with the recent deregulation of the electric power industry in California, the CPUC is the tribunal best situated to decide unsettled questions of law regarding the PX Credit.</w:t>
      </w:r>
    </w:p>
    <w:p>
      <w:pPr>
        <w:pStyle w:val="List1"/>
        <w:numPr>
          <w:ilvl w:val="0"/>
          <w:numId w:val="2"/>
        </w:numPr>
        <w:tabs>
          <w:tab w:val="clear" w:pos="720"/>
        </w:tabs>
        <w:ind w:hanging="0" w:start="0"/>
        <w:rPr/>
      </w:pPr>
      <w:r>
        <w:rPr/>
        <w:t xml:space="preserve">There are related proceedings already before the CPUC by virtue of the complaints filed in January 2001 against both the PG&amp;E and SCE.  Although the earlier complaints are presently stayed, EES and EEMC have initiated a new filing against SCE concerning the PX Credit and are requesting an order from the CPUC requiring SCE to reinstate the PX Credit for each account and meter, and to order SCE to not disconnect the EES/EEMC customers.  </w:t>
      </w:r>
    </w:p>
    <w:p>
      <w:pPr>
        <w:pStyle w:val="List1"/>
        <w:numPr>
          <w:ilvl w:val="0"/>
          <w:numId w:val="2"/>
        </w:numPr>
        <w:tabs>
          <w:tab w:val="clear" w:pos="720"/>
        </w:tabs>
        <w:ind w:hanging="0" w:start="0"/>
        <w:rPr/>
      </w:pPr>
      <w:r>
        <w:rPr/>
        <w:t>It is feasible to sever the state law claims regarding the PX Credit from other core bankruptcy matters.  The CPUC should decide the substantive issues relating to the enforceability and allowability of the PX Credit, after which this Court  will decide the right of EES and EEMC to recoup the PX Credits against future T&amp;D Charges billed by PG&amp;E.</w:t>
      </w:r>
    </w:p>
    <w:p>
      <w:pPr>
        <w:pStyle w:val="List1"/>
        <w:numPr>
          <w:ilvl w:val="0"/>
          <w:numId w:val="2"/>
        </w:numPr>
        <w:tabs>
          <w:tab w:val="clear" w:pos="720"/>
        </w:tabs>
        <w:ind w:hanging="0" w:start="0"/>
        <w:rPr/>
      </w:pPr>
      <w:r>
        <w:rPr/>
        <w:t xml:space="preserve">The issues regarding the PX Credit concern a non-debtor party, SCE, as well as the Debtor.  If these issues in relationship to the Respondent are decided by the bankruptcy court they could be inconsistent with the decisions of the CPUC concerning the non-debtor utility, SCE.  </w:t>
      </w:r>
    </w:p>
    <w:p>
      <w:pPr>
        <w:pStyle w:val="BodyText"/>
        <w:rPr/>
      </w:pPr>
      <w:r>
        <w:rPr/>
        <w:t xml:space="preserve">In considering the factors and the circumstances of this case as a whole, as required by Ninth Circuit in </w:t>
      </w:r>
      <w:r>
        <w:rPr>
          <w:i/>
        </w:rPr>
        <w:t xml:space="preserve">In re Tucson Estates Inc., </w:t>
      </w:r>
      <w:r>
        <w:rPr/>
        <w:t>abstention by this Court under Section 1334(c)(1) is appropriate, and therefore, cause exists under Section 362(d)(1) for granting EES and EEMC relief from the stay to proceed before the CPUC and deposit the disputed payments with the CPUC.</w:t>
      </w:r>
    </w:p>
    <w:p>
      <w:pPr>
        <w:pStyle w:val="BodyText"/>
        <w:rPr/>
      </w:pPr>
      <w:r>
        <w:rPr/>
        <w:t xml:space="preserve">Following the CPUC’s determination of the regulatory issues, EES and EEMC will ask this Court to rule on the right of EES/EEMC to recoup the PX Credit against PG&amp;E’s post-petition T&amp;D Charges, pursuant to </w:t>
      </w:r>
      <w:r>
        <w:rPr>
          <w:i/>
        </w:rPr>
        <w:t xml:space="preserve">Newberry v. Fireman’s Fund Insurance Co., </w:t>
      </w:r>
      <w:r>
        <w:rPr/>
        <w:t xml:space="preserve">95 F.3d, </w:t>
      </w:r>
      <w:r>
        <w:rPr>
          <w:i/>
        </w:rPr>
        <w:t>supra</w:t>
      </w:r>
      <w:r>
        <w:rPr/>
        <w:t>.</w:t>
      </w:r>
    </w:p>
    <w:p>
      <w:pPr>
        <w:pStyle w:val="Normal"/>
        <w:rPr/>
      </w:pPr>
      <w:r>
        <w:rPr>
          <w:b/>
        </w:rPr>
        <w:t>B.</w:t>
        <w:tab/>
      </w:r>
      <w:r>
        <w:rPr>
          <w:b/>
          <w:sz w:val="22"/>
          <w:u w:val="single"/>
        </w:rPr>
        <w:t>The Bill Dispute Procedures in PG&amp;E's Rules 10 and 22 are Appropriate to this Dispute</w:t>
      </w:r>
    </w:p>
    <w:p>
      <w:pPr>
        <w:pStyle w:val="Normal"/>
        <w:rPr/>
      </w:pPr>
      <w:r>
        <w:rPr/>
        <w:tab/>
        <w:t>Rule 22(f) of PG&amp;E's Direct Access tariff (contained in Advice Letter 1716-E and adopted by the CPUC in Decision No. 97-10-087) provides as follows:</w:t>
      </w:r>
    </w:p>
    <w:p>
      <w:pPr>
        <w:pStyle w:val="Normal"/>
        <w:spacing w:lineRule="auto" w:line="240"/>
        <w:ind w:start="1440" w:end="1440"/>
        <w:rPr/>
      </w:pPr>
      <w:r>
        <w:rPr/>
        <w:t>If the ESP disputes any PG&amp;E charges, it shall nevertheless pay the amount billed; provided, however, that the ESP may, at its election pay the portion of the charges that the ESP disputes to the CPUC in accordance with Rule 10.</w:t>
      </w:r>
    </w:p>
    <w:p>
      <w:pPr>
        <w:pStyle w:val="Normal"/>
        <w:rPr/>
      </w:pPr>
      <w:r>
        <w:rPr/>
      </w:r>
    </w:p>
    <w:p>
      <w:pPr>
        <w:pStyle w:val="Normal"/>
        <w:rPr/>
      </w:pPr>
      <w:r>
        <w:rPr/>
        <w:tab/>
        <w:t>Rule 10 of the PG&amp;E's Direct Access tariff provides a detailed bill dispute resolution procedure which includes the ability to submit the billing dispute to the CPUC for determination.  Specifically, Rule 10(b)(2) sets forth detailed procedures by which a PG&amp;E customer, such as EES or EEMC, may, in lieu of paying a disputed bill, deposit with the CPUC the amount claimed by PG&amp;E to be due.  The CPUC then rules upon the merits of the dispute and disburses the deposited funds in accordance with its decision.</w:t>
      </w:r>
      <w:r>
        <w:rPr>
          <w:rStyle w:val="FootnoteCharacters"/>
          <w:rStyle w:val="FootnoteReference"/>
        </w:rPr>
        <w:footnoteReference w:id="10"/>
      </w:r>
      <w:r>
        <w:rPr/>
        <w:t xml:space="preserve">  During the time that the matter is under consideration by the CPUC, PG&amp;E may not discontinue service for reasons of non-payment.</w:t>
      </w:r>
    </w:p>
    <w:p>
      <w:pPr>
        <w:pStyle w:val="Normal"/>
        <w:rPr/>
      </w:pPr>
      <w:r>
        <w:rPr/>
        <w:tab/>
        <w:t>Here, to seek restoration of the accrued PX Credits and to avoid the discontinuance of energy service to their customers, EES and EEMC desire to invoke their rights under Rules 10 and 22 to deposit the amount of the disputed PG&amp;E bills with the CPUC and to allow the CPUC to rule on the issue of the restoration of the accrued but unpaid PX Credits to EES's and EEMC's bills.  Once this issue is resolved, EES and EEMC will return to this Court for a determination of their rights of recoupment of those credits against future PG&amp;E Direct Access bills.  Accordingly, the requested relief should be granted.</w:t>
      </w:r>
    </w:p>
    <w:p>
      <w:pPr>
        <w:pStyle w:val="Heading3"/>
        <w:rPr/>
      </w:pPr>
      <w:r>
        <w:rPr/>
        <w:t>CONCLUSION</w:t>
      </w:r>
    </w:p>
    <w:p>
      <w:pPr>
        <w:pStyle w:val="Heading3"/>
        <w:rPr/>
      </w:pPr>
      <w:r>
        <w:rPr/>
      </w:r>
    </w:p>
    <w:p>
      <w:pPr>
        <w:pStyle w:val="Heading3"/>
        <w:rPr/>
      </w:pPr>
      <w:r>
        <w:rPr/>
      </w:r>
    </w:p>
    <w:p>
      <w:pPr>
        <w:pStyle w:val="Heading3"/>
        <w:rPr/>
      </w:pPr>
      <w:r>
        <w:rPr/>
      </w:r>
    </w:p>
    <w:p>
      <w:pPr>
        <w:pStyle w:val="Normal"/>
        <w:keepNext w:val="true"/>
        <w:spacing w:lineRule="exact" w:line="228"/>
        <w:rPr/>
      </w:pPr>
      <w:bookmarkStart w:id="0" w:name="Start"/>
      <w:bookmarkEnd w:id="0"/>
      <w:r>
        <w:rPr/>
        <w:t xml:space="preserve">Dated:  </w:t>
      </w:r>
      <w:r>
        <w:rPr/>
        <w:fldChar w:fldCharType="begin"/>
      </w:r>
      <w:r>
        <w:rPr/>
        <w:instrText xml:space="preserve"> DATE \@"MMMM\ d', 'yyyy" </w:instrText>
      </w:r>
      <w:r>
        <w:rPr/>
        <w:fldChar w:fldCharType="separate"/>
      </w:r>
      <w:r>
        <w:rPr/>
        <w:t>September 28, 2025</w:t>
      </w:r>
      <w:r>
        <w:rPr/>
        <w:fldChar w:fldCharType="end"/>
      </w:r>
    </w:p>
    <w:tbl>
      <w:tblPr>
        <w:tblW w:w="5310" w:type="dxa"/>
        <w:jc w:val="end"/>
        <w:tblInd w:w="0" w:type="dxa"/>
        <w:tblLayout w:type="fixed"/>
        <w:tblCellMar>
          <w:top w:w="0" w:type="dxa"/>
          <w:start w:w="0" w:type="dxa"/>
          <w:bottom w:w="0" w:type="dxa"/>
          <w:end w:w="0" w:type="dxa"/>
        </w:tblCellMar>
      </w:tblPr>
      <w:tblGrid>
        <w:gridCol w:w="180"/>
        <w:gridCol w:w="5130"/>
      </w:tblGrid>
      <w:tr>
        <w:trPr/>
        <w:tc>
          <w:tcPr>
            <w:tcW w:w="180" w:type="dxa"/>
            <w:tcBorders/>
          </w:tcPr>
          <w:p>
            <w:pPr>
              <w:pStyle w:val="Normal"/>
              <w:spacing w:lineRule="exact" w:line="228"/>
              <w:rPr/>
            </w:pPr>
            <w:r>
              <w:rPr/>
              <w:t xml:space="preserve"> </w:t>
            </w:r>
          </w:p>
        </w:tc>
        <w:tc>
          <w:tcPr>
            <w:tcW w:w="5130" w:type="dxa"/>
            <w:tcBorders>
              <w:bottom w:val="single" w:sz="4" w:space="0" w:color="000000"/>
            </w:tcBorders>
          </w:tcPr>
          <w:p>
            <w:pPr>
              <w:pStyle w:val="Normal"/>
              <w:spacing w:lineRule="exact" w:line="228"/>
              <w:rPr/>
            </w:pPr>
            <w:r>
              <w:rPr/>
              <w:t xml:space="preserve">LeBOEUF, LAMB, GREENE &amp; MacRAE, LLP </w:t>
            </w:r>
          </w:p>
          <w:p>
            <w:pPr>
              <w:pStyle w:val="Normal"/>
              <w:spacing w:lineRule="exact" w:line="228"/>
              <w:rPr/>
            </w:pPr>
            <w:r>
              <w:rPr/>
            </w:r>
          </w:p>
          <w:p>
            <w:pPr>
              <w:pStyle w:val="Normal"/>
              <w:spacing w:lineRule="exact" w:line="228"/>
              <w:rPr/>
            </w:pPr>
            <w:r>
              <w:rPr/>
            </w:r>
          </w:p>
          <w:p>
            <w:pPr>
              <w:pStyle w:val="Normal"/>
              <w:spacing w:lineRule="exact" w:line="228"/>
              <w:rPr/>
            </w:pPr>
            <w:r>
              <w:rPr/>
            </w:r>
          </w:p>
          <w:p>
            <w:pPr>
              <w:pStyle w:val="Normal"/>
              <w:spacing w:lineRule="exact" w:line="228"/>
              <w:rPr/>
            </w:pPr>
            <w:r>
              <w:rPr/>
            </w:r>
          </w:p>
        </w:tc>
      </w:tr>
      <w:tr>
        <w:trPr/>
        <w:tc>
          <w:tcPr>
            <w:tcW w:w="180" w:type="dxa"/>
            <w:tcBorders/>
          </w:tcPr>
          <w:p>
            <w:pPr>
              <w:pStyle w:val="Normal"/>
              <w:snapToGrid w:val="false"/>
              <w:spacing w:lineRule="exact" w:line="228"/>
              <w:rPr/>
            </w:pPr>
            <w:r>
              <w:rPr/>
            </w:r>
          </w:p>
        </w:tc>
        <w:tc>
          <w:tcPr>
            <w:tcW w:w="5130" w:type="dxa"/>
            <w:tcBorders/>
          </w:tcPr>
          <w:p>
            <w:pPr>
              <w:pStyle w:val="Normal"/>
              <w:spacing w:lineRule="exact" w:line="228"/>
              <w:rPr/>
            </w:pPr>
            <w:r>
              <w:rPr/>
              <w:t>Carl A. Eklund</w:t>
            </w:r>
          </w:p>
          <w:p>
            <w:pPr>
              <w:pStyle w:val="Normal"/>
              <w:spacing w:lineRule="exact" w:line="228"/>
              <w:rPr/>
            </w:pPr>
            <w:r>
              <w:rPr/>
              <w:t>Attorneys for ENRON ENERGY SERVICES, INC., ENRON ENERGY MARKETING GROUP</w:t>
            </w:r>
          </w:p>
        </w:tc>
      </w:tr>
    </w:tbl>
    <w:p>
      <w:pPr>
        <w:pStyle w:val="Header"/>
        <w:tabs>
          <w:tab w:val="clear" w:pos="4320"/>
          <w:tab w:val="clear" w:pos="8640"/>
        </w:tabs>
        <w:spacing w:lineRule="exact" w:line="228"/>
        <w:rPr/>
      </w:pPr>
      <w:r>
        <w:rPr/>
      </w:r>
    </w:p>
    <w:sectPr>
      <w:headerReference w:type="default" r:id="rId4"/>
      <w:headerReference w:type="first" r:id="rId5"/>
      <w:footerReference w:type="default" r:id="rId6"/>
      <w:footerReference w:type="first" r:id="rId7"/>
      <w:footnotePr>
        <w:numFmt w:val="decimal"/>
      </w:footnotePr>
      <w:type w:val="nextPage"/>
      <w:pgSz w:w="12240" w:h="15840"/>
      <w:pgMar w:left="2160" w:right="720" w:gutter="0" w:header="720" w:top="1440" w:footer="432"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1" distT="0" distB="0" distL="0" distR="0" simplePos="0" locked="0" layoutInCell="0" allowOverlap="1" relativeHeight="13">
              <wp:simplePos x="0" y="0"/>
              <wp:positionH relativeFrom="column">
                <wp:align>left</wp:align>
              </wp:positionH>
              <wp:positionV relativeFrom="line">
                <wp:align>top</wp:align>
              </wp:positionV>
              <wp:extent cx="5943600" cy="707390"/>
              <wp:effectExtent l="0" t="0" r="0" b="0"/>
              <wp:wrapNone/>
              <wp:docPr id="12" name="Frame2"/>
              <a:graphic xmlns:a="http://schemas.openxmlformats.org/drawingml/2006/main">
                <a:graphicData uri="http://schemas.microsoft.com/office/word/2010/wordprocessingShape">
                  <wps:wsp>
                    <wps:cNvSpPr txBox="1"/>
                    <wps:spPr>
                      <a:xfrm>
                        <a:off x="0" y="0"/>
                        <a:ext cx="5943600" cy="707390"/>
                      </a:xfrm>
                      <a:prstGeom prst="rect"/>
                      <a:solidFill>
                        <a:srgbClr val="FFFFFF"/>
                      </a:solidFill>
                    </wps:spPr>
                    <wps:txbx>
                      <w:txbxContent>
                        <w:p>
                          <w:pPr>
                            <w:pStyle w:val="Footer"/>
                            <w:rPr/>
                          </w:pPr>
                          <w:r>
                            <w:rPr/>
                            <w:tab/>
                            <w:tab/>
                          </w:r>
                        </w:p>
                        <w:tbl>
                          <w:tblPr>
                            <w:tblW w:w="9270" w:type="dxa"/>
                            <w:jc w:val="start"/>
                            <w:tblInd w:w="108" w:type="dxa"/>
                            <w:tblLayout w:type="fixed"/>
                            <w:tblCellMar>
                              <w:top w:w="0" w:type="dxa"/>
                              <w:start w:w="108" w:type="dxa"/>
                              <w:bottom w:w="0" w:type="dxa"/>
                              <w:end w:w="108" w:type="dxa"/>
                            </w:tblCellMar>
                          </w:tblPr>
                          <w:tblGrid>
                            <w:gridCol w:w="4860"/>
                            <w:gridCol w:w="4410"/>
                          </w:tblGrid>
                          <w:tr>
                            <w:trPr/>
                            <w:tc>
                              <w:tcPr>
                                <w:tcW w:w="4860" w:type="dxa"/>
                                <w:tcBorders>
                                  <w:top w:val="single" w:sz="4" w:space="0" w:color="000000"/>
                                </w:tcBorders>
                              </w:tcPr>
                              <w:p>
                                <w:pPr>
                                  <w:pStyle w:val="Footer"/>
                                  <w:snapToGrid w:val="false"/>
                                  <w:rPr/>
                                </w:pPr>
                                <w:r>
                                  <w:rPr/>
                                </w:r>
                              </w:p>
                              <w:p>
                                <w:pPr>
                                  <w:pStyle w:val="Footer"/>
                                  <w:rPr>
                                    <w:sz w:val="16"/>
                                  </w:rPr>
                                </w:pPr>
                                <w:r>
                                  <w:rPr>
                                    <w:sz w:val="16"/>
                                  </w:rPr>
                                  <w:fldChar w:fldCharType="begin"/>
                                </w:r>
                                <w:r>
                                  <w:rPr>
                                    <w:sz w:val="16"/>
                                  </w:rPr>
                                  <w:instrText xml:space="preserve"> KEYWORDS </w:instrText>
                                </w:r>
                                <w:r>
                                  <w:rPr>
                                    <w:sz w:val="16"/>
                                  </w:rPr>
                                  <w:fldChar w:fldCharType="separate"/>
                                </w:r>
                                <w:r>
                                  <w:rPr>
                                    <w:sz w:val="16"/>
                                  </w:rPr>
                                  <w:t>SF 159365.1 02618 00125</w:t>
                                </w:r>
                                <w:r>
                                  <w:rPr>
                                    <w:sz w:val="16"/>
                                  </w:rPr>
                                  <w:fldChar w:fldCharType="end"/>
                                </w:r>
                              </w:p>
                            </w:tc>
                            <w:tc>
                              <w:tcPr>
                                <w:tcW w:w="4410" w:type="dxa"/>
                                <w:tcBorders>
                                  <w:top w:val="single" w:sz="4" w:space="0" w:color="000000"/>
                                </w:tcBorders>
                              </w:tcPr>
                              <w:p>
                                <w:pPr>
                                  <w:pStyle w:val="Footer"/>
                                  <w:rPr>
                                    <w:sz w:val="16"/>
                                  </w:rPr>
                                </w:pPr>
                                <w:r>
                                  <w:rPr>
                                    <w:sz w:val="16"/>
                                  </w:rPr>
                                  <w:t>MOTION FOR RELIEF FROM STAY AND FOR AUTHORIZATION TO DEPOSIT MONIES WITH THE CALIFORNIA PUBLIC UTILITIES COMMISSION</w:t>
                                </w:r>
                              </w:p>
                            </w:tc>
                          </w:tr>
                        </w:tbl>
                        <w:p>
                          <w:pPr>
                            <w:pStyle w:val="Footer"/>
                            <w:rPr/>
                          </w:pPr>
                          <w:r>
                            <w:rPr/>
                          </w:r>
                        </w:p>
                      </w:txbxContent>
                    </wps:txbx>
                    <wps:bodyPr anchor="t" lIns="0" tIns="0" rIns="0" bIns="0">
                      <a:noAutofit/>
                    </wps:bodyPr>
                  </wps:wsp>
                </a:graphicData>
              </a:graphic>
            </wp:anchor>
          </w:drawing>
        </mc:Choice>
        <mc:Fallback>
          <w:pict>
            <v:rect style="position:absolute;rotation:-0;width:468pt;height:55.7pt;mso-wrap-distance-left:0pt;mso-wrap-distance-right:0pt;mso-wrap-distance-top:0pt;mso-wrap-distance-bottom:0pt;margin-top:-31.3pt;mso-position-vertical:top;mso-position-vertical-relative:text;margin-left:0pt;mso-position-horizontal:left;mso-position-horizontal-relative:text">
              <v:textbox inset="0in,0in,0in,0in">
                <w:txbxContent>
                  <w:p>
                    <w:pPr>
                      <w:pStyle w:val="Footer"/>
                      <w:rPr/>
                    </w:pPr>
                    <w:r>
                      <w:rPr/>
                      <w:tab/>
                      <w:tab/>
                    </w:r>
                  </w:p>
                  <w:tbl>
                    <w:tblPr>
                      <w:tblW w:w="9270" w:type="dxa"/>
                      <w:jc w:val="start"/>
                      <w:tblInd w:w="108" w:type="dxa"/>
                      <w:tblLayout w:type="fixed"/>
                      <w:tblCellMar>
                        <w:top w:w="0" w:type="dxa"/>
                        <w:start w:w="108" w:type="dxa"/>
                        <w:bottom w:w="0" w:type="dxa"/>
                        <w:end w:w="108" w:type="dxa"/>
                      </w:tblCellMar>
                    </w:tblPr>
                    <w:tblGrid>
                      <w:gridCol w:w="4860"/>
                      <w:gridCol w:w="4410"/>
                    </w:tblGrid>
                    <w:tr>
                      <w:trPr/>
                      <w:tc>
                        <w:tcPr>
                          <w:tcW w:w="4860" w:type="dxa"/>
                          <w:tcBorders>
                            <w:top w:val="single" w:sz="4" w:space="0" w:color="000000"/>
                          </w:tcBorders>
                        </w:tcPr>
                        <w:p>
                          <w:pPr>
                            <w:pStyle w:val="Footer"/>
                            <w:snapToGrid w:val="false"/>
                            <w:rPr/>
                          </w:pPr>
                          <w:r>
                            <w:rPr/>
                          </w:r>
                        </w:p>
                        <w:p>
                          <w:pPr>
                            <w:pStyle w:val="Footer"/>
                            <w:rPr>
                              <w:sz w:val="16"/>
                            </w:rPr>
                          </w:pPr>
                          <w:r>
                            <w:rPr>
                              <w:sz w:val="16"/>
                            </w:rPr>
                            <w:fldChar w:fldCharType="begin"/>
                          </w:r>
                          <w:r>
                            <w:rPr>
                              <w:sz w:val="16"/>
                            </w:rPr>
                            <w:instrText xml:space="preserve"> KEYWORDS </w:instrText>
                          </w:r>
                          <w:r>
                            <w:rPr>
                              <w:sz w:val="16"/>
                            </w:rPr>
                            <w:fldChar w:fldCharType="separate"/>
                          </w:r>
                          <w:r>
                            <w:rPr>
                              <w:sz w:val="16"/>
                            </w:rPr>
                            <w:t>SF 159365.1 02618 00125</w:t>
                          </w:r>
                          <w:r>
                            <w:rPr>
                              <w:sz w:val="16"/>
                            </w:rPr>
                            <w:fldChar w:fldCharType="end"/>
                          </w:r>
                        </w:p>
                      </w:tc>
                      <w:tc>
                        <w:tcPr>
                          <w:tcW w:w="4410" w:type="dxa"/>
                          <w:tcBorders>
                            <w:top w:val="single" w:sz="4" w:space="0" w:color="000000"/>
                          </w:tcBorders>
                        </w:tcPr>
                        <w:p>
                          <w:pPr>
                            <w:pStyle w:val="Footer"/>
                            <w:rPr>
                              <w:sz w:val="16"/>
                            </w:rPr>
                          </w:pPr>
                          <w:r>
                            <w:rPr>
                              <w:sz w:val="16"/>
                            </w:rPr>
                            <w:t>MOTION FOR RELIEF FROM STAY AND FOR AUTHORIZATION TO DEPOSIT MONIES WITH THE CALIFORNIA PUBLIC UTILITIES COMMISSION</w:t>
                          </w:r>
                        </w:p>
                      </w:tc>
                    </w:tr>
                  </w:tbl>
                  <w:p>
                    <w:pPr>
                      <w:pStyle w:val="Footer"/>
                      <w:rPr/>
                    </w:pPr>
                    <w:r>
                      <w:rPr/>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1" distT="0" distB="0" distL="0" distR="0" simplePos="0" locked="0" layoutInCell="0" allowOverlap="1" relativeHeight="12">
              <wp:simplePos x="0" y="0"/>
              <wp:positionH relativeFrom="column">
                <wp:align>left</wp:align>
              </wp:positionH>
              <wp:positionV relativeFrom="line">
                <wp:align>top</wp:align>
              </wp:positionV>
              <wp:extent cx="5943600" cy="824230"/>
              <wp:effectExtent l="0" t="0" r="0" b="0"/>
              <wp:wrapNone/>
              <wp:docPr id="24" name="Frame6"/>
              <a:graphic xmlns:a="http://schemas.openxmlformats.org/drawingml/2006/main">
                <a:graphicData uri="http://schemas.microsoft.com/office/word/2010/wordprocessingShape">
                  <wps:wsp>
                    <wps:cNvSpPr txBox="1"/>
                    <wps:spPr>
                      <a:xfrm>
                        <a:off x="0" y="0"/>
                        <a:ext cx="5943600" cy="824230"/>
                      </a:xfrm>
                      <a:prstGeom prst="rect"/>
                      <a:solidFill>
                        <a:srgbClr val="FFFFFF"/>
                      </a:solidFill>
                    </wps:spPr>
                    <wps:txbx>
                      <w:txbxContent>
                        <w:p>
                          <w:pPr>
                            <w:pStyle w:val="Footer"/>
                            <w:tabs>
                              <w:tab w:val="clear" w:pos="4320"/>
                              <w:tab w:val="center" w:pos="4860" w:leader="none"/>
                              <w:tab w:val="right" w:pos="8640" w:leader="none"/>
                            </w:tabs>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tab/>
                            <w:tab/>
                          </w:r>
                        </w:p>
                        <w:tbl>
                          <w:tblPr>
                            <w:tblW w:w="9270" w:type="dxa"/>
                            <w:jc w:val="start"/>
                            <w:tblInd w:w="108" w:type="dxa"/>
                            <w:tblLayout w:type="fixed"/>
                            <w:tblCellMar>
                              <w:top w:w="0" w:type="dxa"/>
                              <w:start w:w="108" w:type="dxa"/>
                              <w:bottom w:w="0" w:type="dxa"/>
                              <w:end w:w="108" w:type="dxa"/>
                            </w:tblCellMar>
                          </w:tblPr>
                          <w:tblGrid>
                            <w:gridCol w:w="4860"/>
                            <w:gridCol w:w="4410"/>
                          </w:tblGrid>
                          <w:tr>
                            <w:trPr/>
                            <w:tc>
                              <w:tcPr>
                                <w:tcW w:w="4860" w:type="dxa"/>
                                <w:tcBorders>
                                  <w:top w:val="single" w:sz="4" w:space="0" w:color="000000"/>
                                </w:tcBorders>
                              </w:tcPr>
                              <w:p>
                                <w:pPr>
                                  <w:pStyle w:val="Footer"/>
                                  <w:snapToGrid w:val="false"/>
                                  <w:rPr/>
                                </w:pPr>
                                <w:r>
                                  <w:rPr/>
                                </w:r>
                              </w:p>
                              <w:p>
                                <w:pPr>
                                  <w:pStyle w:val="Footer"/>
                                  <w:rPr>
                                    <w:sz w:val="16"/>
                                  </w:rPr>
                                </w:pPr>
                                <w:r>
                                  <w:rPr>
                                    <w:sz w:val="16"/>
                                  </w:rPr>
                                  <w:fldChar w:fldCharType="begin"/>
                                </w:r>
                                <w:r>
                                  <w:rPr>
                                    <w:sz w:val="16"/>
                                  </w:rPr>
                                  <w:instrText xml:space="preserve"> KEYWORDS </w:instrText>
                                </w:r>
                                <w:r>
                                  <w:rPr>
                                    <w:sz w:val="16"/>
                                  </w:rPr>
                                  <w:fldChar w:fldCharType="separate"/>
                                </w:r>
                                <w:r>
                                  <w:rPr>
                                    <w:sz w:val="16"/>
                                  </w:rPr>
                                  <w:t>SF 159365.1 02618 00125</w:t>
                                </w:r>
                                <w:r>
                                  <w:rPr>
                                    <w:sz w:val="16"/>
                                  </w:rPr>
                                  <w:fldChar w:fldCharType="end"/>
                                </w:r>
                              </w:p>
                            </w:tc>
                            <w:tc>
                              <w:tcPr>
                                <w:tcW w:w="4410" w:type="dxa"/>
                                <w:tcBorders>
                                  <w:top w:val="single" w:sz="4" w:space="0" w:color="000000"/>
                                </w:tcBorders>
                              </w:tcPr>
                              <w:p>
                                <w:pPr>
                                  <w:pStyle w:val="Footer"/>
                                  <w:rPr>
                                    <w:sz w:val="16"/>
                                  </w:rPr>
                                </w:pPr>
                                <w:r>
                                  <w:rPr>
                                    <w:sz w:val="16"/>
                                  </w:rPr>
                                  <w:t>MOTION FOR RELIEF FROM STAY AND MOTION FOR AUTHORIZATION TO DEPOSIT MONIES WITH THE CALIFORNIA PUBLIC UTILITIES COMMISSION</w:t>
                                </w:r>
                              </w:p>
                              <w:p>
                                <w:pPr>
                                  <w:pStyle w:val="Footer"/>
                                  <w:rPr>
                                    <w:sz w:val="16"/>
                                  </w:rPr>
                                </w:pPr>
                                <w:r>
                                  <w:rPr>
                                    <w:sz w:val="16"/>
                                  </w:rPr>
                                  <w:t>CASE NO. 01-30923 M</w:t>
                                </w:r>
                              </w:p>
                            </w:tc>
                          </w:tr>
                        </w:tbl>
                        <w:p>
                          <w:pPr>
                            <w:pStyle w:val="Footer"/>
                            <w:rPr/>
                          </w:pPr>
                          <w:r>
                            <w:rPr/>
                          </w:r>
                        </w:p>
                      </w:txbxContent>
                    </wps:txbx>
                    <wps:bodyPr anchor="t" lIns="0" tIns="0" rIns="0" bIns="0">
                      <a:noAutofit/>
                    </wps:bodyPr>
                  </wps:wsp>
                </a:graphicData>
              </a:graphic>
            </wp:anchor>
          </w:drawing>
        </mc:Choice>
        <mc:Fallback>
          <w:pict>
            <v:rect style="position:absolute;rotation:-0;width:468pt;height:64.9pt;mso-wrap-distance-left:0pt;mso-wrap-distance-right:0pt;mso-wrap-distance-top:0pt;mso-wrap-distance-bottom:0pt;margin-top:-40.5pt;mso-position-vertical:top;mso-position-vertical-relative:text;margin-left:0pt;mso-position-horizontal:left;mso-position-horizontal-relative:text">
              <v:textbox inset="0in,0in,0in,0in">
                <w:txbxContent>
                  <w:p>
                    <w:pPr>
                      <w:pStyle w:val="Footer"/>
                      <w:tabs>
                        <w:tab w:val="clear" w:pos="4320"/>
                        <w:tab w:val="center" w:pos="4860" w:leader="none"/>
                        <w:tab w:val="right" w:pos="8640" w:leader="none"/>
                      </w:tabs>
                      <w:rPr/>
                    </w:pPr>
                    <w:r>
                      <w:rPr>
                        <w:sz w:val="16"/>
                      </w:rPr>
                      <w:tab/>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r>
                      <w:rPr/>
                      <w:tab/>
                      <w:tab/>
                    </w:r>
                  </w:p>
                  <w:tbl>
                    <w:tblPr>
                      <w:tblW w:w="9270" w:type="dxa"/>
                      <w:jc w:val="start"/>
                      <w:tblInd w:w="108" w:type="dxa"/>
                      <w:tblLayout w:type="fixed"/>
                      <w:tblCellMar>
                        <w:top w:w="0" w:type="dxa"/>
                        <w:start w:w="108" w:type="dxa"/>
                        <w:bottom w:w="0" w:type="dxa"/>
                        <w:end w:w="108" w:type="dxa"/>
                      </w:tblCellMar>
                    </w:tblPr>
                    <w:tblGrid>
                      <w:gridCol w:w="4860"/>
                      <w:gridCol w:w="4410"/>
                    </w:tblGrid>
                    <w:tr>
                      <w:trPr/>
                      <w:tc>
                        <w:tcPr>
                          <w:tcW w:w="4860" w:type="dxa"/>
                          <w:tcBorders>
                            <w:top w:val="single" w:sz="4" w:space="0" w:color="000000"/>
                          </w:tcBorders>
                        </w:tcPr>
                        <w:p>
                          <w:pPr>
                            <w:pStyle w:val="Footer"/>
                            <w:snapToGrid w:val="false"/>
                            <w:rPr/>
                          </w:pPr>
                          <w:r>
                            <w:rPr/>
                          </w:r>
                        </w:p>
                        <w:p>
                          <w:pPr>
                            <w:pStyle w:val="Footer"/>
                            <w:rPr>
                              <w:sz w:val="16"/>
                            </w:rPr>
                          </w:pPr>
                          <w:r>
                            <w:rPr>
                              <w:sz w:val="16"/>
                            </w:rPr>
                            <w:fldChar w:fldCharType="begin"/>
                          </w:r>
                          <w:r>
                            <w:rPr>
                              <w:sz w:val="16"/>
                            </w:rPr>
                            <w:instrText xml:space="preserve"> KEYWORDS </w:instrText>
                          </w:r>
                          <w:r>
                            <w:rPr>
                              <w:sz w:val="16"/>
                            </w:rPr>
                            <w:fldChar w:fldCharType="separate"/>
                          </w:r>
                          <w:r>
                            <w:rPr>
                              <w:sz w:val="16"/>
                            </w:rPr>
                            <w:t>SF 159365.1 02618 00125</w:t>
                          </w:r>
                          <w:r>
                            <w:rPr>
                              <w:sz w:val="16"/>
                            </w:rPr>
                            <w:fldChar w:fldCharType="end"/>
                          </w:r>
                        </w:p>
                      </w:tc>
                      <w:tc>
                        <w:tcPr>
                          <w:tcW w:w="4410" w:type="dxa"/>
                          <w:tcBorders>
                            <w:top w:val="single" w:sz="4" w:space="0" w:color="000000"/>
                          </w:tcBorders>
                        </w:tcPr>
                        <w:p>
                          <w:pPr>
                            <w:pStyle w:val="Footer"/>
                            <w:rPr>
                              <w:sz w:val="16"/>
                            </w:rPr>
                          </w:pPr>
                          <w:r>
                            <w:rPr>
                              <w:sz w:val="16"/>
                            </w:rPr>
                            <w:t>MOTION FOR RELIEF FROM STAY AND MOTION FOR AUTHORIZATION TO DEPOSIT MONIES WITH THE CALIFORNIA PUBLIC UTILITIES COMMISSION</w:t>
                          </w:r>
                        </w:p>
                        <w:p>
                          <w:pPr>
                            <w:pStyle w:val="Footer"/>
                            <w:rPr>
                              <w:sz w:val="16"/>
                            </w:rPr>
                          </w:pPr>
                          <w:r>
                            <w:rPr>
                              <w:sz w:val="16"/>
                            </w:rPr>
                            <w:t>CASE NO. 01-30923 M</w:t>
                          </w:r>
                        </w:p>
                      </w:tc>
                    </w:tr>
                  </w:tbl>
                  <w:p>
                    <w:pPr>
                      <w:pStyle w:val="Footer"/>
                      <w:rPr/>
                    </w:pPr>
                    <w:r>
                      <w:rPr/>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ab/>
        <w:t>As part of Direct Access, EES and EMC executed an “Energy Service Provider Service Agreement” dated December 18, 1997, a copy of which is attached as Exhibit A to the Declaration of ___________.  Section 1.1 of that agreement states that the agreement governs “the business relationship” between PG&amp;E and EES and EMC.</w:t>
      </w:r>
    </w:p>
  </w:footnote>
  <w:footnote w:id="3">
    <w:p>
      <w:pPr>
        <w:pStyle w:val="FootnoteText"/>
        <w:rPr/>
      </w:pPr>
      <w:r>
        <w:rPr>
          <w:rStyle w:val="FootnoteCharacters"/>
        </w:rPr>
        <w:footnoteRef/>
      </w:r>
      <w:r>
        <w:rPr/>
        <w:t xml:space="preserve"> </w:t>
      </w:r>
      <w:r>
        <w:rPr/>
        <w:tab/>
        <w:t>A copy of Order 97-08-056 is attached as Exhibit A to the accompanying Request for Judicial Notice (“RJN”).</w:t>
      </w:r>
    </w:p>
  </w:footnote>
  <w:footnote w:id="4">
    <w:p>
      <w:pPr>
        <w:pStyle w:val="FootnoteText"/>
        <w:rPr/>
      </w:pPr>
      <w:r>
        <w:rPr>
          <w:rStyle w:val="FootnoteCharacters"/>
        </w:rPr>
        <w:footnoteRef/>
      </w:r>
      <w:r>
        <w:rPr/>
        <w:t xml:space="preserve"> </w:t>
      </w:r>
      <w:r>
        <w:rPr/>
        <w:tab/>
        <w:t>RJN, Exh. B.</w:t>
      </w:r>
    </w:p>
  </w:footnote>
  <w:footnote w:id="5">
    <w:p>
      <w:pPr>
        <w:pStyle w:val="FootnoteText"/>
        <w:rPr/>
      </w:pPr>
      <w:r>
        <w:rPr>
          <w:rStyle w:val="FootnoteCharacters"/>
        </w:rPr>
        <w:footnoteRef/>
      </w:r>
      <w:r>
        <w:rPr/>
        <w:t xml:space="preserve"> </w:t>
      </w:r>
      <w:r>
        <w:rPr/>
        <w:tab/>
        <w:t xml:space="preserve">The choice of billing format does not have any effect on what a customer pays EES or EEMC.  </w:t>
      </w:r>
    </w:p>
  </w:footnote>
  <w:footnote w:id="6">
    <w:p>
      <w:pPr>
        <w:pStyle w:val="FootnoteText"/>
        <w:rPr/>
      </w:pPr>
      <w:r>
        <w:rPr>
          <w:rStyle w:val="FootnoteCharacters"/>
        </w:rPr>
        <w:footnoteRef/>
      </w:r>
      <w:r>
        <w:rPr/>
        <w:t xml:space="preserve"> </w:t>
      </w:r>
      <w:r>
        <w:rPr/>
        <w:tab/>
        <w:t>See Exhibit B to ___________ Dec.</w:t>
      </w:r>
    </w:p>
  </w:footnote>
  <w:footnote w:id="7">
    <w:p>
      <w:pPr>
        <w:pStyle w:val="FootnoteText"/>
        <w:rPr/>
      </w:pPr>
      <w:r>
        <w:rPr>
          <w:rStyle w:val="FootnoteCharacters"/>
        </w:rPr>
        <w:footnoteRef/>
      </w:r>
      <w:r>
        <w:rPr/>
        <w:t xml:space="preserve"> </w:t>
      </w:r>
      <w:r>
        <w:rPr/>
        <w:tab/>
        <w:t>A sample of such a bill is attached as Exhibit C to ___________ Dec.</w:t>
      </w:r>
    </w:p>
  </w:footnote>
  <w:footnote w:id="8">
    <w:p>
      <w:pPr>
        <w:pStyle w:val="FootnoteText"/>
        <w:rPr/>
      </w:pPr>
      <w:r>
        <w:rPr>
          <w:rStyle w:val="FootnoteCharacters"/>
        </w:rPr>
        <w:footnoteRef/>
      </w:r>
      <w:r>
        <w:rPr/>
        <w:t xml:space="preserve"> </w:t>
      </w:r>
      <w:r>
        <w:rPr/>
        <w:tab/>
        <w:t>In a February 14, 2001 filing with the Securities and Exchange Commission, PG&amp;E estimated that the accrued but unpaid PX Credits due all ESP’s in connection with Direct Access accounts in PG&amp;E’s service territory may be as high as $433 million.  PG&amp;E, also, list their creditors in Schedule F of their bankruptcy filing in the amount of $_______________.</w:t>
      </w:r>
    </w:p>
  </w:footnote>
  <w:footnote w:id="9">
    <w:p>
      <w:pPr>
        <w:pStyle w:val="FootnoteText"/>
        <w:rPr/>
      </w:pPr>
      <w:r>
        <w:rPr>
          <w:rStyle w:val="FootnoteCharacters"/>
        </w:rPr>
        <w:footnoteRef/>
      </w:r>
      <w:r>
        <w:rPr/>
        <w:t xml:space="preserve"> </w:t>
      </w:r>
      <w:r>
        <w:rPr/>
        <w:tab/>
        <w:t xml:space="preserve">Effective February 1, 2001, EES and EEMC returned most of their Direct Access customers to PG&amp;E for bundled service.  However, EES and EEMC continued to honor their contractual agreements with their customers regarding price of energy provided.  Accordingly, EES and EEMC paid PG&amp;E the cost of energy based upon the Frozen Tariff Rate while receiving its contract prices from EES's and EEMC's customers which were always lower than the Frozen Tariff Rate.  </w:t>
      </w:r>
    </w:p>
    <w:p>
      <w:pPr>
        <w:pStyle w:val="FootnoteText"/>
        <w:rPr/>
      </w:pPr>
      <w:r>
        <w:rPr/>
        <w:tab/>
        <w:t>Effective June 21, 2001, EES and EEMC returned their customers to Direct Access service and again are being billed by PG&amp;E for transmission and distribution and other charges.</w:t>
      </w:r>
    </w:p>
    <w:p>
      <w:pPr>
        <w:pStyle w:val="FootnoteText"/>
        <w:rPr/>
      </w:pPr>
      <w:r>
        <w:rPr/>
      </w:r>
    </w:p>
    <w:p>
      <w:pPr>
        <w:pStyle w:val="FootnoteText"/>
        <w:rPr/>
      </w:pPr>
      <w:r>
        <w:rPr/>
      </w:r>
    </w:p>
  </w:footnote>
  <w:footnote w:id="10">
    <w:p>
      <w:pPr>
        <w:pStyle w:val="FootnoteText"/>
        <w:rPr/>
      </w:pPr>
      <w:r>
        <w:rPr>
          <w:rStyle w:val="FootnoteCharacters"/>
        </w:rPr>
        <w:footnoteRef/>
      </w:r>
      <w:r>
        <w:rPr/>
        <w:t xml:space="preserve"> </w:t>
      </w:r>
      <w:r>
        <w:rPr/>
        <w:tab/>
        <w:t>Current copies of Rules 10 and 22 for PG&amp;E's tariffs are attached as Exhibit F to the accompanying Request for Judicial Notice.</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14">
              <wp:simplePos x="0" y="0"/>
              <wp:positionH relativeFrom="column">
                <wp:align>left</wp:align>
              </wp:positionH>
              <wp:positionV relativeFrom="line">
                <wp:posOffset>635</wp:posOffset>
              </wp:positionV>
              <wp:extent cx="5943600" cy="577850"/>
              <wp:effectExtent l="0" t="0" r="0" b="0"/>
              <wp:wrapNone/>
              <wp:docPr id="1" name="Frame3"/>
              <a:graphic xmlns:a="http://schemas.openxmlformats.org/drawingml/2006/main">
                <a:graphicData uri="http://schemas.microsoft.com/office/word/2010/wordprocessingShape">
                  <wps:wsp>
                    <wps:cNvSpPr txBox="1"/>
                    <wps:spPr>
                      <a:xfrm>
                        <a:off x="0" y="0"/>
                        <a:ext cx="5943600" cy="577850"/>
                      </a:xfrm>
                      <a:prstGeom prst="rect"/>
                      <a:solidFill>
                        <a:srgbClr val="FFFFFF"/>
                      </a:solidFill>
                    </wps:spPr>
                    <wps:txbx>
                      <w:txbxContent>
                        <w:p>
                          <w:pPr>
                            <w:pStyle w:val="Header"/>
                            <w:tabs>
                              <w:tab w:val="clear" w:pos="4320"/>
                              <w:tab w:val="clear" w:pos="8640"/>
                            </w:tabs>
                            <w:rPr>
                              <w:lang w:val="en-CA"/>
                            </w:rPr>
                          </w:pPr>
                          <w:r>
                            <w:rPr>
                              <w:lang w:val="en-CA"/>
                            </w:rPr>
                          </w:r>
                        </w:p>
                        <w:p>
                          <w:pPr>
                            <w:pStyle w:val="Normal"/>
                            <w:rPr>
                              <w:lang w:val="en-CA"/>
                            </w:rPr>
                          </w:pPr>
                          <w:r>
                            <w:rPr>
                              <w:lang w:val="en-CA"/>
                            </w:rPr>
                          </w:r>
                        </w:p>
                      </w:txbxContent>
                    </wps:txbx>
                    <wps:bodyPr anchor="t" lIns="0" tIns="0" rIns="0" bIns="0">
                      <a:noAutofit/>
                    </wps:bodyPr>
                  </wps:wsp>
                </a:graphicData>
              </a:graphic>
            </wp:anchor>
          </w:drawing>
        </mc:Choice>
        <mc:Fallback>
          <w:pict>
            <v:rect style="position:absolute;rotation:-0;width:468pt;height:4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tabs>
                        <w:tab w:val="clear" w:pos="4320"/>
                        <w:tab w:val="clear" w:pos="8640"/>
                      </w:tabs>
                      <w:rPr>
                        <w:lang w:val="en-CA"/>
                      </w:rPr>
                    </w:pPr>
                    <w:r>
                      <w:rPr>
                        <w:lang w:val="en-CA"/>
                      </w:rPr>
                      <w:pict>
                        <v:line id="shape_0" from="-3.6pt,0pt" to="-3.6pt,791.95pt" ID="LeftBorder1" stroked="t" o:allowincell="f" style="position:absolute;mso-position-horizontal-relative:margin;mso-position-vertical-relative:page">
                          <v:stroke color="black" weight="9360" joinstyle="miter" endcap="flat"/>
                          <v:fill o:detectmouseclick="t" on="false"/>
                          <w10:wrap type="none"/>
                        </v:line>
                      </w:pict>
                      <w:pict>
                        <v:line id="shape_0" from="-7.2pt,0pt" to="-7.2pt,791.95pt" ID="LeftBorder2" stroked="t" o:allowincell="f" style="position:absolute;mso-position-horizontal-relative:margin;mso-position-vertical-relative:page">
                          <v:stroke color="black" weight="9360" joinstyle="miter" endcap="flat"/>
                          <v:fill o:detectmouseclick="t" on="false"/>
                          <w10:wrap type="none"/>
                        </v:line>
                      </w:pict>
                      <w:pict>
                        <v:line id="shape_0" from="511.2pt,7.2pt" to="511.2pt,799.15pt" ID="RightBorder" stroked="t" o:allowincell="f" style="position:absolute;mso-position-horizontal-relative:margin;mso-position-vertical-relative:page">
                          <v:stroke color="black" weight="9360" joinstyle="miter" endcap="flat"/>
                          <v:fill o:detectmouseclick="t" on="false"/>
                          <w10:wrap type="none"/>
                        </v:line>
                      </w:pict>
                    </w:r>
                  </w:p>
                  <w:p>
                    <w:pPr>
                      <w:pStyle w:val="Normal"/>
                      <w:rPr>
                        <w:lang w:val="en-CA"/>
                      </w:rPr>
                    </w:pPr>
                    <w:r>
                      <w:rPr>
                        <w:lang w:val="en-CA"/>
                      </w:rPr>
                    </w:r>
                  </w:p>
                </w:txbxContent>
              </v:textbox>
              <w10:wrap type="none"/>
            </v:rect>
          </w:pict>
        </mc:Fallback>
      </mc:AlternateContent>
    </w:r>
    <w:r>
      <mc:AlternateContent>
        <mc:Choice Requires="wps">
          <w:drawing>
            <wp:anchor behindDoc="1" distT="0" distB="0" distL="114935" distR="114935" simplePos="0" locked="0" layoutInCell="0" allowOverlap="1" relativeHeight="18">
              <wp:simplePos x="0" y="0"/>
              <wp:positionH relativeFrom="margin">
                <wp:posOffset>-640080</wp:posOffset>
              </wp:positionH>
              <wp:positionV relativeFrom="margin">
                <wp:posOffset>0</wp:posOffset>
              </wp:positionV>
              <wp:extent cx="457200" cy="8229600"/>
              <wp:effectExtent l="0" t="0" r="0" b="0"/>
              <wp:wrapNone/>
              <wp:docPr id="8" name="Frame4"/>
              <a:graphic xmlns:a="http://schemas.openxmlformats.org/drawingml/2006/main">
                <a:graphicData uri="http://schemas.microsoft.com/office/word/2010/wordprocessingShape">
                  <wps:wsp>
                    <wps:cNvSpPr txBox="1"/>
                    <wps:spPr>
                      <a:xfrm>
                        <a:off x="0" y="0"/>
                        <a:ext cx="457200" cy="8229600"/>
                      </a:xfrm>
                      <a:prstGeom prst="rect"/>
                      <a:solidFill>
                        <a:srgbClr val="FFFFFF"/>
                      </a:solidFill>
                    </wps:spPr>
                    <wps:txbx>
                      <w:txbxContent>
                        <w:p>
                          <w:pPr>
                            <w:pStyle w:val="Normal"/>
                            <w:jc w:val="end"/>
                            <w:rPr/>
                          </w:pPr>
                          <w:r>
                            <w:rPr/>
                            <w:t>1</w:t>
                          </w:r>
                        </w:p>
                        <w:p>
                          <w:pPr>
                            <w:pStyle w:val="Normal"/>
                            <w:jc w:val="end"/>
                            <w:rPr/>
                          </w:pPr>
                          <w:r>
                            <w:rPr/>
                            <w:t>2</w:t>
                          </w:r>
                        </w:p>
                        <w:p>
                          <w:pPr>
                            <w:pStyle w:val="Normal"/>
                            <w:jc w:val="end"/>
                            <w:rPr/>
                          </w:pPr>
                          <w:r>
                            <w:rPr/>
                            <w:t>3</w:t>
                          </w:r>
                        </w:p>
                        <w:p>
                          <w:pPr>
                            <w:pStyle w:val="Normal"/>
                            <w:jc w:val="end"/>
                            <w:rPr/>
                          </w:pPr>
                          <w:r>
                            <w:rPr/>
                            <w:t>4</w:t>
                          </w:r>
                        </w:p>
                        <w:p>
                          <w:pPr>
                            <w:pStyle w:val="Normal"/>
                            <w:jc w:val="end"/>
                            <w:rPr/>
                          </w:pPr>
                          <w:r>
                            <w:rPr/>
                            <w:t>5</w:t>
                          </w:r>
                        </w:p>
                        <w:p>
                          <w:pPr>
                            <w:pStyle w:val="Normal"/>
                            <w:jc w:val="end"/>
                            <w:rPr/>
                          </w:pPr>
                          <w:r>
                            <w:rPr/>
                            <w:t>6</w:t>
                          </w:r>
                        </w:p>
                        <w:p>
                          <w:pPr>
                            <w:pStyle w:val="Normal"/>
                            <w:jc w:val="end"/>
                            <w:rPr/>
                          </w:pPr>
                          <w:r>
                            <w:rPr/>
                            <w:t>7</w:t>
                          </w:r>
                        </w:p>
                        <w:p>
                          <w:pPr>
                            <w:pStyle w:val="Normal"/>
                            <w:jc w:val="end"/>
                            <w:rPr/>
                          </w:pPr>
                          <w:r>
                            <w:rPr/>
                            <w:t>8</w:t>
                          </w:r>
                        </w:p>
                        <w:p>
                          <w:pPr>
                            <w:pStyle w:val="Normal"/>
                            <w:jc w:val="end"/>
                            <w:rPr/>
                          </w:pPr>
                          <w:r>
                            <w:rPr/>
                            <w:t>9</w:t>
                          </w:r>
                        </w:p>
                        <w:p>
                          <w:pPr>
                            <w:pStyle w:val="Normal"/>
                            <w:jc w:val="end"/>
                            <w:rPr/>
                          </w:pPr>
                          <w:r>
                            <w:rPr/>
                            <w:t>10</w:t>
                          </w:r>
                        </w:p>
                        <w:p>
                          <w:pPr>
                            <w:pStyle w:val="Normal"/>
                            <w:jc w:val="end"/>
                            <w:rPr/>
                          </w:pPr>
                          <w:r>
                            <w:rPr/>
                            <w:t>11</w:t>
                          </w:r>
                        </w:p>
                        <w:p>
                          <w:pPr>
                            <w:pStyle w:val="Normal"/>
                            <w:jc w:val="end"/>
                            <w:rPr/>
                          </w:pPr>
                          <w:r>
                            <w:rPr/>
                            <w:t>12</w:t>
                          </w:r>
                        </w:p>
                        <w:p>
                          <w:pPr>
                            <w:pStyle w:val="Normal"/>
                            <w:jc w:val="end"/>
                            <w:rPr/>
                          </w:pPr>
                          <w:r>
                            <w:rPr/>
                            <w:t>13</w:t>
                          </w:r>
                        </w:p>
                        <w:p>
                          <w:pPr>
                            <w:pStyle w:val="Normal"/>
                            <w:jc w:val="end"/>
                            <w:rPr/>
                          </w:pPr>
                          <w:r>
                            <w:rPr/>
                            <w:t>14</w:t>
                          </w:r>
                        </w:p>
                        <w:p>
                          <w:pPr>
                            <w:pStyle w:val="Normal"/>
                            <w:jc w:val="end"/>
                            <w:rPr/>
                          </w:pPr>
                          <w:r>
                            <w:rPr/>
                            <w:t>15</w:t>
                          </w:r>
                        </w:p>
                        <w:p>
                          <w:pPr>
                            <w:pStyle w:val="Normal"/>
                            <w:jc w:val="end"/>
                            <w:rPr/>
                          </w:pPr>
                          <w:r>
                            <w:rPr/>
                            <w:t>16</w:t>
                          </w:r>
                        </w:p>
                        <w:p>
                          <w:pPr>
                            <w:pStyle w:val="Normal"/>
                            <w:jc w:val="end"/>
                            <w:rPr/>
                          </w:pPr>
                          <w:r>
                            <w:rPr/>
                            <w:t>17</w:t>
                          </w:r>
                        </w:p>
                        <w:p>
                          <w:pPr>
                            <w:pStyle w:val="Normal"/>
                            <w:jc w:val="end"/>
                            <w:rPr/>
                          </w:pPr>
                          <w:r>
                            <w:rPr/>
                            <w:t>18</w:t>
                          </w:r>
                        </w:p>
                        <w:p>
                          <w:pPr>
                            <w:pStyle w:val="Normal"/>
                            <w:jc w:val="end"/>
                            <w:rPr/>
                          </w:pPr>
                          <w:r>
                            <w:rPr/>
                            <w:t>19</w:t>
                          </w:r>
                        </w:p>
                        <w:p>
                          <w:pPr>
                            <w:pStyle w:val="Normal"/>
                            <w:jc w:val="end"/>
                            <w:rPr/>
                          </w:pPr>
                          <w:r>
                            <w:rPr/>
                            <w:t>20</w:t>
                          </w:r>
                        </w:p>
                        <w:p>
                          <w:pPr>
                            <w:pStyle w:val="Normal"/>
                            <w:jc w:val="end"/>
                            <w:rPr/>
                          </w:pPr>
                          <w:r>
                            <w:rPr/>
                            <w:t>21</w:t>
                          </w:r>
                        </w:p>
                        <w:p>
                          <w:pPr>
                            <w:pStyle w:val="Normal"/>
                            <w:jc w:val="end"/>
                            <w:rPr/>
                          </w:pPr>
                          <w:r>
                            <w:rPr/>
                            <w:t>22</w:t>
                          </w:r>
                        </w:p>
                        <w:p>
                          <w:pPr>
                            <w:pStyle w:val="Normal"/>
                            <w:jc w:val="end"/>
                            <w:rPr/>
                          </w:pPr>
                          <w:r>
                            <w:rPr/>
                            <w:t>23</w:t>
                          </w:r>
                        </w:p>
                        <w:p>
                          <w:pPr>
                            <w:pStyle w:val="Normal"/>
                            <w:jc w:val="end"/>
                            <w:rPr/>
                          </w:pPr>
                          <w:r>
                            <w:rPr/>
                            <w:t>24</w:t>
                          </w:r>
                        </w:p>
                        <w:p>
                          <w:pPr>
                            <w:pStyle w:val="Normal"/>
                            <w:jc w:val="end"/>
                            <w:rPr/>
                          </w:pPr>
                          <w:r>
                            <w:rPr/>
                            <w:t>25</w:t>
                          </w:r>
                        </w:p>
                        <w:p>
                          <w:pPr>
                            <w:pStyle w:val="Normal"/>
                            <w:jc w:val="end"/>
                            <w:rPr/>
                          </w:pPr>
                          <w:r>
                            <w:rPr/>
                            <w:t>26</w:t>
                          </w:r>
                        </w:p>
                        <w:p>
                          <w:pPr>
                            <w:pStyle w:val="Normal"/>
                            <w:jc w:val="end"/>
                            <w:rPr/>
                          </w:pPr>
                          <w:r>
                            <w:rPr/>
                            <w:t>27</w:t>
                          </w:r>
                        </w:p>
                        <w:p>
                          <w:pPr>
                            <w:pStyle w:val="Normal"/>
                            <w:jc w:val="end"/>
                            <w:rPr/>
                          </w:pPr>
                          <w:r>
                            <w:rPr/>
                            <w:t>28</w:t>
                          </w:r>
                        </w:p>
                        <w:p>
                          <w:pPr>
                            <w:pStyle w:val="Normal"/>
                            <w:jc w:val="end"/>
                            <w:rPr/>
                          </w:pPr>
                          <w:r>
                            <w:rPr/>
                          </w:r>
                        </w:p>
                      </w:txbxContent>
                    </wps:txbx>
                    <wps:bodyPr anchor="t" lIns="635" tIns="635" rIns="635" bIns="635">
                      <a:noAutofit/>
                    </wps:bodyPr>
                  </wps:wsp>
                </a:graphicData>
              </a:graphic>
            </wp:anchor>
          </w:drawing>
        </mc:Choice>
        <mc:Fallback>
          <w:pict>
            <v:rect fillcolor="#FFFFFF" style="position:absolute;rotation:-0;width:36pt;height:648pt;mso-wrap-distance-left:9.05pt;mso-wrap-distance-right:9.05pt;mso-wrap-distance-top:0pt;mso-wrap-distance-bottom:0pt;margin-top:0pt;mso-position-vertical-relative:margin;margin-left:-50.4pt;mso-position-horizontal-relative:margin">
              <v:textbox inset="0.000694444444444445in,0.000694444444444445in,0.000694444444444445in,0.000694444444444445in">
                <w:txbxContent>
                  <w:p>
                    <w:pPr>
                      <w:pStyle w:val="Normal"/>
                      <w:jc w:val="end"/>
                      <w:rPr/>
                    </w:pPr>
                    <w:r>
                      <w:rPr/>
                      <w:t>1</w:t>
                    </w:r>
                  </w:p>
                  <w:p>
                    <w:pPr>
                      <w:pStyle w:val="Normal"/>
                      <w:jc w:val="end"/>
                      <w:rPr/>
                    </w:pPr>
                    <w:r>
                      <w:rPr/>
                      <w:t>2</w:t>
                    </w:r>
                  </w:p>
                  <w:p>
                    <w:pPr>
                      <w:pStyle w:val="Normal"/>
                      <w:jc w:val="end"/>
                      <w:rPr/>
                    </w:pPr>
                    <w:r>
                      <w:rPr/>
                      <w:t>3</w:t>
                    </w:r>
                  </w:p>
                  <w:p>
                    <w:pPr>
                      <w:pStyle w:val="Normal"/>
                      <w:jc w:val="end"/>
                      <w:rPr/>
                    </w:pPr>
                    <w:r>
                      <w:rPr/>
                      <w:t>4</w:t>
                    </w:r>
                  </w:p>
                  <w:p>
                    <w:pPr>
                      <w:pStyle w:val="Normal"/>
                      <w:jc w:val="end"/>
                      <w:rPr/>
                    </w:pPr>
                    <w:r>
                      <w:rPr/>
                      <w:t>5</w:t>
                    </w:r>
                  </w:p>
                  <w:p>
                    <w:pPr>
                      <w:pStyle w:val="Normal"/>
                      <w:jc w:val="end"/>
                      <w:rPr/>
                    </w:pPr>
                    <w:r>
                      <w:rPr/>
                      <w:t>6</w:t>
                    </w:r>
                  </w:p>
                  <w:p>
                    <w:pPr>
                      <w:pStyle w:val="Normal"/>
                      <w:jc w:val="end"/>
                      <w:rPr/>
                    </w:pPr>
                    <w:r>
                      <w:rPr/>
                      <w:t>7</w:t>
                    </w:r>
                  </w:p>
                  <w:p>
                    <w:pPr>
                      <w:pStyle w:val="Normal"/>
                      <w:jc w:val="end"/>
                      <w:rPr/>
                    </w:pPr>
                    <w:r>
                      <w:rPr/>
                      <w:t>8</w:t>
                    </w:r>
                  </w:p>
                  <w:p>
                    <w:pPr>
                      <w:pStyle w:val="Normal"/>
                      <w:jc w:val="end"/>
                      <w:rPr/>
                    </w:pPr>
                    <w:r>
                      <w:rPr/>
                      <w:t>9</w:t>
                    </w:r>
                  </w:p>
                  <w:p>
                    <w:pPr>
                      <w:pStyle w:val="Normal"/>
                      <w:jc w:val="end"/>
                      <w:rPr/>
                    </w:pPr>
                    <w:r>
                      <w:rPr/>
                      <w:t>10</w:t>
                    </w:r>
                  </w:p>
                  <w:p>
                    <w:pPr>
                      <w:pStyle w:val="Normal"/>
                      <w:jc w:val="end"/>
                      <w:rPr/>
                    </w:pPr>
                    <w:r>
                      <w:rPr/>
                      <w:t>11</w:t>
                    </w:r>
                  </w:p>
                  <w:p>
                    <w:pPr>
                      <w:pStyle w:val="Normal"/>
                      <w:jc w:val="end"/>
                      <w:rPr/>
                    </w:pPr>
                    <w:r>
                      <w:rPr/>
                      <w:t>12</w:t>
                    </w:r>
                  </w:p>
                  <w:p>
                    <w:pPr>
                      <w:pStyle w:val="Normal"/>
                      <w:jc w:val="end"/>
                      <w:rPr/>
                    </w:pPr>
                    <w:r>
                      <w:rPr/>
                      <w:t>13</w:t>
                    </w:r>
                  </w:p>
                  <w:p>
                    <w:pPr>
                      <w:pStyle w:val="Normal"/>
                      <w:jc w:val="end"/>
                      <w:rPr/>
                    </w:pPr>
                    <w:r>
                      <w:rPr/>
                      <w:t>14</w:t>
                    </w:r>
                  </w:p>
                  <w:p>
                    <w:pPr>
                      <w:pStyle w:val="Normal"/>
                      <w:jc w:val="end"/>
                      <w:rPr/>
                    </w:pPr>
                    <w:r>
                      <w:rPr/>
                      <w:t>15</w:t>
                    </w:r>
                  </w:p>
                  <w:p>
                    <w:pPr>
                      <w:pStyle w:val="Normal"/>
                      <w:jc w:val="end"/>
                      <w:rPr/>
                    </w:pPr>
                    <w:r>
                      <w:rPr/>
                      <w:t>16</w:t>
                    </w:r>
                  </w:p>
                  <w:p>
                    <w:pPr>
                      <w:pStyle w:val="Normal"/>
                      <w:jc w:val="end"/>
                      <w:rPr/>
                    </w:pPr>
                    <w:r>
                      <w:rPr/>
                      <w:t>17</w:t>
                    </w:r>
                  </w:p>
                  <w:p>
                    <w:pPr>
                      <w:pStyle w:val="Normal"/>
                      <w:jc w:val="end"/>
                      <w:rPr/>
                    </w:pPr>
                    <w:r>
                      <w:rPr/>
                      <w:t>18</w:t>
                    </w:r>
                  </w:p>
                  <w:p>
                    <w:pPr>
                      <w:pStyle w:val="Normal"/>
                      <w:jc w:val="end"/>
                      <w:rPr/>
                    </w:pPr>
                    <w:r>
                      <w:rPr/>
                      <w:t>19</w:t>
                    </w:r>
                  </w:p>
                  <w:p>
                    <w:pPr>
                      <w:pStyle w:val="Normal"/>
                      <w:jc w:val="end"/>
                      <w:rPr/>
                    </w:pPr>
                    <w:r>
                      <w:rPr/>
                      <w:t>20</w:t>
                    </w:r>
                  </w:p>
                  <w:p>
                    <w:pPr>
                      <w:pStyle w:val="Normal"/>
                      <w:jc w:val="end"/>
                      <w:rPr/>
                    </w:pPr>
                    <w:r>
                      <w:rPr/>
                      <w:t>21</w:t>
                    </w:r>
                  </w:p>
                  <w:p>
                    <w:pPr>
                      <w:pStyle w:val="Normal"/>
                      <w:jc w:val="end"/>
                      <w:rPr/>
                    </w:pPr>
                    <w:r>
                      <w:rPr/>
                      <w:t>22</w:t>
                    </w:r>
                  </w:p>
                  <w:p>
                    <w:pPr>
                      <w:pStyle w:val="Normal"/>
                      <w:jc w:val="end"/>
                      <w:rPr/>
                    </w:pPr>
                    <w:r>
                      <w:rPr/>
                      <w:t>23</w:t>
                    </w:r>
                  </w:p>
                  <w:p>
                    <w:pPr>
                      <w:pStyle w:val="Normal"/>
                      <w:jc w:val="end"/>
                      <w:rPr/>
                    </w:pPr>
                    <w:r>
                      <w:rPr/>
                      <w:t>24</w:t>
                    </w:r>
                  </w:p>
                  <w:p>
                    <w:pPr>
                      <w:pStyle w:val="Normal"/>
                      <w:jc w:val="end"/>
                      <w:rPr/>
                    </w:pPr>
                    <w:r>
                      <w:rPr/>
                      <w:t>25</w:t>
                    </w:r>
                  </w:p>
                  <w:p>
                    <w:pPr>
                      <w:pStyle w:val="Normal"/>
                      <w:jc w:val="end"/>
                      <w:rPr/>
                    </w:pPr>
                    <w:r>
                      <w:rPr/>
                      <w:t>26</w:t>
                    </w:r>
                  </w:p>
                  <w:p>
                    <w:pPr>
                      <w:pStyle w:val="Normal"/>
                      <w:jc w:val="end"/>
                      <w:rPr/>
                    </w:pPr>
                    <w:r>
                      <w:rPr/>
                      <w:t>27</w:t>
                    </w:r>
                  </w:p>
                  <w:p>
                    <w:pPr>
                      <w:pStyle w:val="Normal"/>
                      <w:jc w:val="end"/>
                      <w:rPr/>
                    </w:pPr>
                    <w:r>
                      <w:rPr/>
                      <w:t>28</w:t>
                    </w:r>
                  </w:p>
                  <w:p>
                    <w:pPr>
                      <w:pStyle w:val="Normal"/>
                      <w:jc w:val="end"/>
                      <w:rPr/>
                    </w:pPr>
                    <w:r>
                      <w:rPr/>
                    </w:r>
                  </w:p>
                </w:txbxContent>
              </v:textbox>
              <w10:wrap type="none"/>
            </v:rect>
          </w:pict>
        </mc:Fallback>
      </mc:AlternateContent>
    </w:r>
    <w:r>
      <mc:AlternateContent>
        <mc:Choice Requires="wps">
          <w:drawing>
            <wp:anchor behindDoc="1" distT="0" distB="0" distL="114935" distR="114935" simplePos="0" locked="0" layoutInCell="0" allowOverlap="1" relativeHeight="15">
              <wp:simplePos x="0" y="0"/>
              <wp:positionH relativeFrom="margin">
                <wp:posOffset>-45720</wp:posOffset>
              </wp:positionH>
              <wp:positionV relativeFrom="page">
                <wp:posOffset>0</wp:posOffset>
              </wp:positionV>
              <wp:extent cx="0" cy="10058400"/>
              <wp:effectExtent l="5080" t="0" r="5080" b="0"/>
              <wp:wrapNone/>
              <wp:docPr id="9" name="LeftBorder1"/>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0pt" to="-3.6pt,791.95pt" ID="LeftBorder1"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6">
              <wp:simplePos x="0" y="0"/>
              <wp:positionH relativeFrom="margin">
                <wp:posOffset>-91440</wp:posOffset>
              </wp:positionH>
              <wp:positionV relativeFrom="page">
                <wp:posOffset>0</wp:posOffset>
              </wp:positionV>
              <wp:extent cx="0" cy="10058400"/>
              <wp:effectExtent l="5080" t="0" r="5080" b="0"/>
              <wp:wrapNone/>
              <wp:docPr id="10" name="LeftBorder2"/>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0pt" to="-7.2pt,791.95pt" ID="LeftBorder2"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17">
              <wp:simplePos x="0" y="0"/>
              <wp:positionH relativeFrom="margin">
                <wp:posOffset>6492240</wp:posOffset>
              </wp:positionH>
              <wp:positionV relativeFrom="page">
                <wp:posOffset>91440</wp:posOffset>
              </wp:positionV>
              <wp:extent cx="0" cy="10058400"/>
              <wp:effectExtent l="5080" t="0" r="5080" b="0"/>
              <wp:wrapNone/>
              <wp:docPr id="11" name="RightBorder"/>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11.2pt,7.2pt" to="511.2pt,799.15pt" ID="RightBorder" stroked="t" o:allowincell="f" style="position:absolute;mso-position-horizontal-relative:margin;mso-position-vertical-relative:page">
              <v:stroke color="black" weight="9360" joinstyle="miter" endcap="flat"/>
              <v:fill o:detectmouseclick="t" on="false"/>
              <w10:wrap type="none"/>
            </v:line>
          </w:pict>
        </mc:Fallback>
      </mc:AlternateConten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r>
      <mc:AlternateContent>
        <mc:Choice Requires="wps">
          <w:drawing>
            <wp:anchor behindDoc="1" distT="0" distB="0" distL="0" distR="0" simplePos="0" locked="0" layoutInCell="0" allowOverlap="1" relativeHeight="29">
              <wp:simplePos x="0" y="0"/>
              <wp:positionH relativeFrom="column">
                <wp:align>left</wp:align>
              </wp:positionH>
              <wp:positionV relativeFrom="line">
                <wp:posOffset>635</wp:posOffset>
              </wp:positionV>
              <wp:extent cx="5943600" cy="577850"/>
              <wp:effectExtent l="0" t="0" r="0" b="0"/>
              <wp:wrapNone/>
              <wp:docPr id="13" name="Frame7"/>
              <a:graphic xmlns:a="http://schemas.openxmlformats.org/drawingml/2006/main">
                <a:graphicData uri="http://schemas.microsoft.com/office/word/2010/wordprocessingShape">
                  <wps:wsp>
                    <wps:cNvSpPr txBox="1"/>
                    <wps:spPr>
                      <a:xfrm>
                        <a:off x="0" y="0"/>
                        <a:ext cx="5943600" cy="577850"/>
                      </a:xfrm>
                      <a:prstGeom prst="rect"/>
                      <a:solidFill>
                        <a:srgbClr val="FFFFFF"/>
                      </a:solidFill>
                    </wps:spPr>
                    <wps:txbx>
                      <w:txbxContent>
                        <w:p>
                          <w:pPr>
                            <w:pStyle w:val="Header"/>
                            <w:tabs>
                              <w:tab w:val="clear" w:pos="4320"/>
                              <w:tab w:val="clear" w:pos="8640"/>
                            </w:tabs>
                            <w:rPr>
                              <w:lang w:val="en-CA"/>
                            </w:rPr>
                          </w:pPr>
                          <w:r>
                            <w:rPr>
                              <w:lang w:val="en-CA"/>
                            </w:rPr>
                          </w:r>
                        </w:p>
                        <w:p>
                          <w:pPr>
                            <w:pStyle w:val="Normal"/>
                            <w:rPr>
                              <w:lang w:val="en-CA"/>
                            </w:rPr>
                          </w:pPr>
                          <w:r>
                            <w:rPr>
                              <w:lang w:val="en-CA"/>
                            </w:rPr>
                          </w:r>
                        </w:p>
                      </w:txbxContent>
                    </wps:txbx>
                    <wps:bodyPr anchor="t" lIns="0" tIns="0" rIns="0" bIns="0">
                      <a:noAutofit/>
                    </wps:bodyPr>
                  </wps:wsp>
                </a:graphicData>
              </a:graphic>
            </wp:anchor>
          </w:drawing>
        </mc:Choice>
        <mc:Fallback>
          <w:pict>
            <v:rect style="position:absolute;rotation:-0;width:468pt;height:45.5pt;mso-wrap-distance-left:0pt;mso-wrap-distance-right:0pt;mso-wrap-distance-top:0pt;mso-wrap-distance-bottom:0pt;margin-top:0pt;mso-position-vertical:top;mso-position-vertical-relative:text;margin-left:0pt;mso-position-horizontal:left;mso-position-horizontal-relative:text">
              <v:textbox inset="0in,0in,0in,0in">
                <w:txbxContent>
                  <w:p>
                    <w:pPr>
                      <w:pStyle w:val="Header"/>
                      <w:tabs>
                        <w:tab w:val="clear" w:pos="4320"/>
                        <w:tab w:val="clear" w:pos="8640"/>
                      </w:tabs>
                      <w:rPr>
                        <w:lang w:val="en-CA"/>
                      </w:rPr>
                    </w:pPr>
                    <w:r>
                      <w:rPr>
                        <w:lang w:val="en-CA"/>
                      </w:rPr>
                      <w:pict>
                        <v:line id="shape_0" from="-3.6pt,0pt" to="-3.6pt,791.95pt" ID="LeftBorder 1" stroked="t" o:allowincell="f" style="position:absolute;mso-position-horizontal-relative:margin;mso-position-vertical-relative:page">
                          <v:stroke color="black" weight="9360" joinstyle="miter" endcap="flat"/>
                          <v:fill o:detectmouseclick="t" on="false"/>
                          <w10:wrap type="none"/>
                        </v:line>
                      </w:pict>
                      <w:pict>
                        <v:line id="shape_0" from="-7.2pt,0pt" to="-7.2pt,791.95pt" ID="LeftBorder 2" stroked="t" o:allowincell="f" style="position:absolute;mso-position-horizontal-relative:margin;mso-position-vertical-relative:page">
                          <v:stroke color="black" weight="9360" joinstyle="miter" endcap="flat"/>
                          <v:fill o:detectmouseclick="t" on="false"/>
                          <w10:wrap type="none"/>
                        </v:line>
                      </w:pict>
                      <w:pict>
                        <v:line id="shape_0" from="511.2pt,7.2pt" to="511.2pt,799.15pt" ID="RightBorder 1" stroked="t" o:allowincell="f" style="position:absolute;mso-position-horizontal-relative:margin;mso-position-vertical-relative:page">
                          <v:stroke color="black" weight="9360" joinstyle="miter" endcap="flat"/>
                          <v:fill o:detectmouseclick="t" on="false"/>
                          <w10:wrap type="none"/>
                        </v:line>
                      </w:pict>
                    </w:r>
                  </w:p>
                  <w:p>
                    <w:pPr>
                      <w:pStyle w:val="Normal"/>
                      <w:rPr>
                        <w:lang w:val="en-CA"/>
                      </w:rPr>
                    </w:pPr>
                    <w:r>
                      <w:rPr>
                        <w:lang w:val="en-CA"/>
                      </w:rPr>
                    </w:r>
                  </w:p>
                </w:txbxContent>
              </v:textbox>
              <w10:wrap type="none"/>
            </v:rect>
          </w:pict>
        </mc:Fallback>
      </mc:AlternateContent>
    </w:r>
    <w:r>
      <mc:AlternateContent>
        <mc:Choice Requires="wps">
          <w:drawing>
            <wp:anchor behindDoc="1" distT="0" distB="0" distL="114935" distR="114935" simplePos="0" locked="0" layoutInCell="0" allowOverlap="1" relativeHeight="73">
              <wp:simplePos x="0" y="0"/>
              <wp:positionH relativeFrom="margin">
                <wp:posOffset>-640080</wp:posOffset>
              </wp:positionH>
              <wp:positionV relativeFrom="margin">
                <wp:posOffset>0</wp:posOffset>
              </wp:positionV>
              <wp:extent cx="457200" cy="8229600"/>
              <wp:effectExtent l="0" t="0" r="0" b="0"/>
              <wp:wrapNone/>
              <wp:docPr id="20" name="Frame8"/>
              <a:graphic xmlns:a="http://schemas.openxmlformats.org/drawingml/2006/main">
                <a:graphicData uri="http://schemas.microsoft.com/office/word/2010/wordprocessingShape">
                  <wps:wsp>
                    <wps:cNvSpPr txBox="1"/>
                    <wps:spPr>
                      <a:xfrm>
                        <a:off x="0" y="0"/>
                        <a:ext cx="457200" cy="8229600"/>
                      </a:xfrm>
                      <a:prstGeom prst="rect"/>
                      <a:solidFill>
                        <a:srgbClr val="FFFFFF"/>
                      </a:solidFill>
                    </wps:spPr>
                    <wps:txbx>
                      <w:txbxContent>
                        <w:p>
                          <w:pPr>
                            <w:pStyle w:val="Normal"/>
                            <w:jc w:val="end"/>
                            <w:rPr/>
                          </w:pPr>
                          <w:r>
                            <w:rPr/>
                            <w:t>1</w:t>
                          </w:r>
                        </w:p>
                        <w:p>
                          <w:pPr>
                            <w:pStyle w:val="Normal"/>
                            <w:jc w:val="end"/>
                            <w:rPr/>
                          </w:pPr>
                          <w:r>
                            <w:rPr/>
                            <w:t>2</w:t>
                          </w:r>
                        </w:p>
                        <w:p>
                          <w:pPr>
                            <w:pStyle w:val="Normal"/>
                            <w:jc w:val="end"/>
                            <w:rPr/>
                          </w:pPr>
                          <w:r>
                            <w:rPr/>
                            <w:t>3</w:t>
                          </w:r>
                        </w:p>
                        <w:p>
                          <w:pPr>
                            <w:pStyle w:val="Normal"/>
                            <w:jc w:val="end"/>
                            <w:rPr/>
                          </w:pPr>
                          <w:r>
                            <w:rPr/>
                            <w:t>4</w:t>
                          </w:r>
                        </w:p>
                        <w:p>
                          <w:pPr>
                            <w:pStyle w:val="Normal"/>
                            <w:jc w:val="end"/>
                            <w:rPr/>
                          </w:pPr>
                          <w:r>
                            <w:rPr/>
                            <w:t>5</w:t>
                          </w:r>
                        </w:p>
                        <w:p>
                          <w:pPr>
                            <w:pStyle w:val="Normal"/>
                            <w:jc w:val="end"/>
                            <w:rPr/>
                          </w:pPr>
                          <w:r>
                            <w:rPr/>
                            <w:t>6</w:t>
                          </w:r>
                        </w:p>
                        <w:p>
                          <w:pPr>
                            <w:pStyle w:val="Normal"/>
                            <w:jc w:val="end"/>
                            <w:rPr/>
                          </w:pPr>
                          <w:r>
                            <w:rPr/>
                            <w:t>7</w:t>
                          </w:r>
                        </w:p>
                        <w:p>
                          <w:pPr>
                            <w:pStyle w:val="Normal"/>
                            <w:jc w:val="end"/>
                            <w:rPr/>
                          </w:pPr>
                          <w:r>
                            <w:rPr/>
                            <w:t>8</w:t>
                          </w:r>
                        </w:p>
                        <w:p>
                          <w:pPr>
                            <w:pStyle w:val="Normal"/>
                            <w:jc w:val="end"/>
                            <w:rPr/>
                          </w:pPr>
                          <w:r>
                            <w:rPr/>
                            <w:t>9</w:t>
                          </w:r>
                        </w:p>
                        <w:p>
                          <w:pPr>
                            <w:pStyle w:val="Normal"/>
                            <w:jc w:val="end"/>
                            <w:rPr/>
                          </w:pPr>
                          <w:r>
                            <w:rPr/>
                            <w:t>10</w:t>
                          </w:r>
                        </w:p>
                        <w:p>
                          <w:pPr>
                            <w:pStyle w:val="Normal"/>
                            <w:jc w:val="end"/>
                            <w:rPr/>
                          </w:pPr>
                          <w:r>
                            <w:rPr/>
                            <w:t>11</w:t>
                          </w:r>
                        </w:p>
                        <w:p>
                          <w:pPr>
                            <w:pStyle w:val="Normal"/>
                            <w:jc w:val="end"/>
                            <w:rPr/>
                          </w:pPr>
                          <w:r>
                            <w:rPr/>
                            <w:t>12</w:t>
                          </w:r>
                        </w:p>
                        <w:p>
                          <w:pPr>
                            <w:pStyle w:val="Normal"/>
                            <w:jc w:val="end"/>
                            <w:rPr/>
                          </w:pPr>
                          <w:r>
                            <w:rPr/>
                            <w:t>13</w:t>
                          </w:r>
                        </w:p>
                        <w:p>
                          <w:pPr>
                            <w:pStyle w:val="Normal"/>
                            <w:jc w:val="end"/>
                            <w:rPr/>
                          </w:pPr>
                          <w:r>
                            <w:rPr/>
                            <w:t>14</w:t>
                          </w:r>
                        </w:p>
                        <w:p>
                          <w:pPr>
                            <w:pStyle w:val="Normal"/>
                            <w:jc w:val="end"/>
                            <w:rPr/>
                          </w:pPr>
                          <w:r>
                            <w:rPr/>
                            <w:t>15</w:t>
                          </w:r>
                        </w:p>
                        <w:p>
                          <w:pPr>
                            <w:pStyle w:val="Normal"/>
                            <w:jc w:val="end"/>
                            <w:rPr/>
                          </w:pPr>
                          <w:r>
                            <w:rPr/>
                            <w:t>16</w:t>
                          </w:r>
                        </w:p>
                        <w:p>
                          <w:pPr>
                            <w:pStyle w:val="Normal"/>
                            <w:jc w:val="end"/>
                            <w:rPr/>
                          </w:pPr>
                          <w:r>
                            <w:rPr/>
                            <w:t>17</w:t>
                          </w:r>
                        </w:p>
                        <w:p>
                          <w:pPr>
                            <w:pStyle w:val="Normal"/>
                            <w:jc w:val="end"/>
                            <w:rPr/>
                          </w:pPr>
                          <w:r>
                            <w:rPr/>
                            <w:t>18</w:t>
                          </w:r>
                        </w:p>
                        <w:p>
                          <w:pPr>
                            <w:pStyle w:val="Normal"/>
                            <w:jc w:val="end"/>
                            <w:rPr/>
                          </w:pPr>
                          <w:r>
                            <w:rPr/>
                            <w:t>19</w:t>
                          </w:r>
                        </w:p>
                        <w:p>
                          <w:pPr>
                            <w:pStyle w:val="Normal"/>
                            <w:jc w:val="end"/>
                            <w:rPr/>
                          </w:pPr>
                          <w:r>
                            <w:rPr/>
                            <w:t>20</w:t>
                          </w:r>
                        </w:p>
                        <w:p>
                          <w:pPr>
                            <w:pStyle w:val="Normal"/>
                            <w:jc w:val="end"/>
                            <w:rPr/>
                          </w:pPr>
                          <w:r>
                            <w:rPr/>
                            <w:t>21</w:t>
                          </w:r>
                        </w:p>
                        <w:p>
                          <w:pPr>
                            <w:pStyle w:val="Normal"/>
                            <w:jc w:val="end"/>
                            <w:rPr/>
                          </w:pPr>
                          <w:r>
                            <w:rPr/>
                            <w:t>22</w:t>
                          </w:r>
                        </w:p>
                        <w:p>
                          <w:pPr>
                            <w:pStyle w:val="Normal"/>
                            <w:jc w:val="end"/>
                            <w:rPr/>
                          </w:pPr>
                          <w:r>
                            <w:rPr/>
                            <w:t>23</w:t>
                          </w:r>
                        </w:p>
                        <w:p>
                          <w:pPr>
                            <w:pStyle w:val="Normal"/>
                            <w:jc w:val="end"/>
                            <w:rPr/>
                          </w:pPr>
                          <w:r>
                            <w:rPr/>
                            <w:t>24</w:t>
                          </w:r>
                        </w:p>
                        <w:p>
                          <w:pPr>
                            <w:pStyle w:val="Normal"/>
                            <w:jc w:val="end"/>
                            <w:rPr/>
                          </w:pPr>
                          <w:r>
                            <w:rPr/>
                            <w:t>25</w:t>
                          </w:r>
                        </w:p>
                        <w:p>
                          <w:pPr>
                            <w:pStyle w:val="Normal"/>
                            <w:jc w:val="end"/>
                            <w:rPr/>
                          </w:pPr>
                          <w:r>
                            <w:rPr/>
                            <w:t>26</w:t>
                          </w:r>
                        </w:p>
                        <w:p>
                          <w:pPr>
                            <w:pStyle w:val="Normal"/>
                            <w:jc w:val="end"/>
                            <w:rPr/>
                          </w:pPr>
                          <w:r>
                            <w:rPr/>
                            <w:t>27</w:t>
                          </w:r>
                        </w:p>
                        <w:p>
                          <w:pPr>
                            <w:pStyle w:val="Normal"/>
                            <w:jc w:val="end"/>
                            <w:rPr/>
                          </w:pPr>
                          <w:r>
                            <w:rPr/>
                            <w:t>28</w:t>
                          </w:r>
                        </w:p>
                        <w:p>
                          <w:pPr>
                            <w:pStyle w:val="Normal"/>
                            <w:jc w:val="end"/>
                            <w:rPr/>
                          </w:pPr>
                          <w:r>
                            <w:rPr/>
                          </w:r>
                        </w:p>
                      </w:txbxContent>
                    </wps:txbx>
                    <wps:bodyPr anchor="t" lIns="635" tIns="635" rIns="635" bIns="635">
                      <a:noAutofit/>
                    </wps:bodyPr>
                  </wps:wsp>
                </a:graphicData>
              </a:graphic>
            </wp:anchor>
          </w:drawing>
        </mc:Choice>
        <mc:Fallback>
          <w:pict>
            <v:rect fillcolor="#FFFFFF" style="position:absolute;rotation:-0;width:36pt;height:648pt;mso-wrap-distance-left:9.05pt;mso-wrap-distance-right:9.05pt;mso-wrap-distance-top:0pt;mso-wrap-distance-bottom:0pt;margin-top:0pt;mso-position-vertical-relative:margin;margin-left:-50.4pt;mso-position-horizontal-relative:margin">
              <v:textbox inset="0.000694444444444445in,0.000694444444444445in,0.000694444444444445in,0.000694444444444445in">
                <w:txbxContent>
                  <w:p>
                    <w:pPr>
                      <w:pStyle w:val="Normal"/>
                      <w:jc w:val="end"/>
                      <w:rPr/>
                    </w:pPr>
                    <w:r>
                      <w:rPr/>
                      <w:t>1</w:t>
                    </w:r>
                  </w:p>
                  <w:p>
                    <w:pPr>
                      <w:pStyle w:val="Normal"/>
                      <w:jc w:val="end"/>
                      <w:rPr/>
                    </w:pPr>
                    <w:r>
                      <w:rPr/>
                      <w:t>2</w:t>
                    </w:r>
                  </w:p>
                  <w:p>
                    <w:pPr>
                      <w:pStyle w:val="Normal"/>
                      <w:jc w:val="end"/>
                      <w:rPr/>
                    </w:pPr>
                    <w:r>
                      <w:rPr/>
                      <w:t>3</w:t>
                    </w:r>
                  </w:p>
                  <w:p>
                    <w:pPr>
                      <w:pStyle w:val="Normal"/>
                      <w:jc w:val="end"/>
                      <w:rPr/>
                    </w:pPr>
                    <w:r>
                      <w:rPr/>
                      <w:t>4</w:t>
                    </w:r>
                  </w:p>
                  <w:p>
                    <w:pPr>
                      <w:pStyle w:val="Normal"/>
                      <w:jc w:val="end"/>
                      <w:rPr/>
                    </w:pPr>
                    <w:r>
                      <w:rPr/>
                      <w:t>5</w:t>
                    </w:r>
                  </w:p>
                  <w:p>
                    <w:pPr>
                      <w:pStyle w:val="Normal"/>
                      <w:jc w:val="end"/>
                      <w:rPr/>
                    </w:pPr>
                    <w:r>
                      <w:rPr/>
                      <w:t>6</w:t>
                    </w:r>
                  </w:p>
                  <w:p>
                    <w:pPr>
                      <w:pStyle w:val="Normal"/>
                      <w:jc w:val="end"/>
                      <w:rPr/>
                    </w:pPr>
                    <w:r>
                      <w:rPr/>
                      <w:t>7</w:t>
                    </w:r>
                  </w:p>
                  <w:p>
                    <w:pPr>
                      <w:pStyle w:val="Normal"/>
                      <w:jc w:val="end"/>
                      <w:rPr/>
                    </w:pPr>
                    <w:r>
                      <w:rPr/>
                      <w:t>8</w:t>
                    </w:r>
                  </w:p>
                  <w:p>
                    <w:pPr>
                      <w:pStyle w:val="Normal"/>
                      <w:jc w:val="end"/>
                      <w:rPr/>
                    </w:pPr>
                    <w:r>
                      <w:rPr/>
                      <w:t>9</w:t>
                    </w:r>
                  </w:p>
                  <w:p>
                    <w:pPr>
                      <w:pStyle w:val="Normal"/>
                      <w:jc w:val="end"/>
                      <w:rPr/>
                    </w:pPr>
                    <w:r>
                      <w:rPr/>
                      <w:t>10</w:t>
                    </w:r>
                  </w:p>
                  <w:p>
                    <w:pPr>
                      <w:pStyle w:val="Normal"/>
                      <w:jc w:val="end"/>
                      <w:rPr/>
                    </w:pPr>
                    <w:r>
                      <w:rPr/>
                      <w:t>11</w:t>
                    </w:r>
                  </w:p>
                  <w:p>
                    <w:pPr>
                      <w:pStyle w:val="Normal"/>
                      <w:jc w:val="end"/>
                      <w:rPr/>
                    </w:pPr>
                    <w:r>
                      <w:rPr/>
                      <w:t>12</w:t>
                    </w:r>
                  </w:p>
                  <w:p>
                    <w:pPr>
                      <w:pStyle w:val="Normal"/>
                      <w:jc w:val="end"/>
                      <w:rPr/>
                    </w:pPr>
                    <w:r>
                      <w:rPr/>
                      <w:t>13</w:t>
                    </w:r>
                  </w:p>
                  <w:p>
                    <w:pPr>
                      <w:pStyle w:val="Normal"/>
                      <w:jc w:val="end"/>
                      <w:rPr/>
                    </w:pPr>
                    <w:r>
                      <w:rPr/>
                      <w:t>14</w:t>
                    </w:r>
                  </w:p>
                  <w:p>
                    <w:pPr>
                      <w:pStyle w:val="Normal"/>
                      <w:jc w:val="end"/>
                      <w:rPr/>
                    </w:pPr>
                    <w:r>
                      <w:rPr/>
                      <w:t>15</w:t>
                    </w:r>
                  </w:p>
                  <w:p>
                    <w:pPr>
                      <w:pStyle w:val="Normal"/>
                      <w:jc w:val="end"/>
                      <w:rPr/>
                    </w:pPr>
                    <w:r>
                      <w:rPr/>
                      <w:t>16</w:t>
                    </w:r>
                  </w:p>
                  <w:p>
                    <w:pPr>
                      <w:pStyle w:val="Normal"/>
                      <w:jc w:val="end"/>
                      <w:rPr/>
                    </w:pPr>
                    <w:r>
                      <w:rPr/>
                      <w:t>17</w:t>
                    </w:r>
                  </w:p>
                  <w:p>
                    <w:pPr>
                      <w:pStyle w:val="Normal"/>
                      <w:jc w:val="end"/>
                      <w:rPr/>
                    </w:pPr>
                    <w:r>
                      <w:rPr/>
                      <w:t>18</w:t>
                    </w:r>
                  </w:p>
                  <w:p>
                    <w:pPr>
                      <w:pStyle w:val="Normal"/>
                      <w:jc w:val="end"/>
                      <w:rPr/>
                    </w:pPr>
                    <w:r>
                      <w:rPr/>
                      <w:t>19</w:t>
                    </w:r>
                  </w:p>
                  <w:p>
                    <w:pPr>
                      <w:pStyle w:val="Normal"/>
                      <w:jc w:val="end"/>
                      <w:rPr/>
                    </w:pPr>
                    <w:r>
                      <w:rPr/>
                      <w:t>20</w:t>
                    </w:r>
                  </w:p>
                  <w:p>
                    <w:pPr>
                      <w:pStyle w:val="Normal"/>
                      <w:jc w:val="end"/>
                      <w:rPr/>
                    </w:pPr>
                    <w:r>
                      <w:rPr/>
                      <w:t>21</w:t>
                    </w:r>
                  </w:p>
                  <w:p>
                    <w:pPr>
                      <w:pStyle w:val="Normal"/>
                      <w:jc w:val="end"/>
                      <w:rPr/>
                    </w:pPr>
                    <w:r>
                      <w:rPr/>
                      <w:t>22</w:t>
                    </w:r>
                  </w:p>
                  <w:p>
                    <w:pPr>
                      <w:pStyle w:val="Normal"/>
                      <w:jc w:val="end"/>
                      <w:rPr/>
                    </w:pPr>
                    <w:r>
                      <w:rPr/>
                      <w:t>23</w:t>
                    </w:r>
                  </w:p>
                  <w:p>
                    <w:pPr>
                      <w:pStyle w:val="Normal"/>
                      <w:jc w:val="end"/>
                      <w:rPr/>
                    </w:pPr>
                    <w:r>
                      <w:rPr/>
                      <w:t>24</w:t>
                    </w:r>
                  </w:p>
                  <w:p>
                    <w:pPr>
                      <w:pStyle w:val="Normal"/>
                      <w:jc w:val="end"/>
                      <w:rPr/>
                    </w:pPr>
                    <w:r>
                      <w:rPr/>
                      <w:t>25</w:t>
                    </w:r>
                  </w:p>
                  <w:p>
                    <w:pPr>
                      <w:pStyle w:val="Normal"/>
                      <w:jc w:val="end"/>
                      <w:rPr/>
                    </w:pPr>
                    <w:r>
                      <w:rPr/>
                      <w:t>26</w:t>
                    </w:r>
                  </w:p>
                  <w:p>
                    <w:pPr>
                      <w:pStyle w:val="Normal"/>
                      <w:jc w:val="end"/>
                      <w:rPr/>
                    </w:pPr>
                    <w:r>
                      <w:rPr/>
                      <w:t>27</w:t>
                    </w:r>
                  </w:p>
                  <w:p>
                    <w:pPr>
                      <w:pStyle w:val="Normal"/>
                      <w:jc w:val="end"/>
                      <w:rPr/>
                    </w:pPr>
                    <w:r>
                      <w:rPr/>
                      <w:t>28</w:t>
                    </w:r>
                  </w:p>
                  <w:p>
                    <w:pPr>
                      <w:pStyle w:val="Normal"/>
                      <w:jc w:val="end"/>
                      <w:rPr/>
                    </w:pPr>
                    <w:r>
                      <w:rPr/>
                    </w:r>
                  </w:p>
                </w:txbxContent>
              </v:textbox>
              <w10:wrap type="none"/>
            </v:rect>
          </w:pict>
        </mc:Fallback>
      </mc:AlternateContent>
    </w:r>
    <w:r>
      <mc:AlternateContent>
        <mc:Choice Requires="wps">
          <w:drawing>
            <wp:anchor behindDoc="1" distT="0" distB="0" distL="114935" distR="114935" simplePos="0" locked="0" layoutInCell="0" allowOverlap="1" relativeHeight="40">
              <wp:simplePos x="0" y="0"/>
              <wp:positionH relativeFrom="margin">
                <wp:posOffset>-45720</wp:posOffset>
              </wp:positionH>
              <wp:positionV relativeFrom="page">
                <wp:posOffset>0</wp:posOffset>
              </wp:positionV>
              <wp:extent cx="0" cy="10058400"/>
              <wp:effectExtent l="5080" t="0" r="5080" b="0"/>
              <wp:wrapNone/>
              <wp:docPr id="21" name="LeftBorder 1"/>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3.6pt,0pt" to="-3.6pt,791.95pt" ID="LeftBorder 1"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51">
              <wp:simplePos x="0" y="0"/>
              <wp:positionH relativeFrom="margin">
                <wp:posOffset>-91440</wp:posOffset>
              </wp:positionH>
              <wp:positionV relativeFrom="page">
                <wp:posOffset>0</wp:posOffset>
              </wp:positionV>
              <wp:extent cx="0" cy="10058400"/>
              <wp:effectExtent l="5080" t="0" r="5080" b="0"/>
              <wp:wrapNone/>
              <wp:docPr id="22" name="LeftBorder 2"/>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7.2pt,0pt" to="-7.2pt,791.95pt" ID="LeftBorder 2" stroked="t" o:allowincell="f" style="position:absolute;mso-position-horizontal-relative:margin;mso-position-vertical-relative:page">
              <v:stroke color="black" weight="9360" joinstyle="miter" endcap="flat"/>
              <v:fill o:detectmouseclick="t" on="false"/>
              <w10:wrap type="none"/>
            </v:line>
          </w:pict>
        </mc:Fallback>
      </mc:AlternateContent>
      <mc:AlternateContent>
        <mc:Choice Requires="wps">
          <w:drawing>
            <wp:anchor behindDoc="1" distT="0" distB="0" distL="114935" distR="114935" simplePos="0" locked="0" layoutInCell="0" allowOverlap="1" relativeHeight="62">
              <wp:simplePos x="0" y="0"/>
              <wp:positionH relativeFrom="margin">
                <wp:posOffset>6492240</wp:posOffset>
              </wp:positionH>
              <wp:positionV relativeFrom="page">
                <wp:posOffset>91440</wp:posOffset>
              </wp:positionV>
              <wp:extent cx="0" cy="10058400"/>
              <wp:effectExtent l="5080" t="0" r="5080" b="0"/>
              <wp:wrapNone/>
              <wp:docPr id="23" name="RightBorder 1"/>
              <a:graphic xmlns:a="http://schemas.openxmlformats.org/drawingml/2006/main">
                <a:graphicData uri="http://schemas.microsoft.com/office/word/2010/wordprocessingShape">
                  <wps:wsp>
                    <wps:cNvSpPr/>
                    <wps:spPr>
                      <a:xfrm>
                        <a:off x="0" y="0"/>
                        <a:ext cx="0" cy="10058400"/>
                      </a:xfrm>
                      <a:prstGeom prst="line">
                        <a:avLst/>
                      </a:prstGeom>
                      <a:ln w="9360">
                        <a:solidFill>
                          <a:srgbClr val="000000"/>
                        </a:solidFill>
                        <a:miter/>
                      </a:ln>
                    </wps:spPr>
                    <wps:style>
                      <a:lnRef idx="0"/>
                      <a:fillRef idx="0"/>
                      <a:effectRef idx="0"/>
                      <a:fontRef idx="minor"/>
                    </wps:style>
                    <wps:bodyPr/>
                  </wps:wsp>
                </a:graphicData>
              </a:graphic>
            </wp:anchor>
          </w:drawing>
        </mc:Choice>
        <mc:Fallback>
          <w:pict>
            <v:line id="shape_0" from="511.2pt,7.2pt" to="511.2pt,799.15pt" ID="RightBorder 1" stroked="t" o:allowincell="f" style="position:absolute;mso-position-horizontal-relative:margin;mso-position-vertical-relative:page">
              <v:stroke color="black" weight="9360" joinstyle="miter" endcap="flat"/>
              <v:fill o:detectmouseclick="t" on="false"/>
              <w10:wrap type="none"/>
            </v:line>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1."/>
      <w:lvlJc w:val="start"/>
      <w:pPr>
        <w:tabs>
          <w:tab w:val="num" w:pos="1440"/>
        </w:tabs>
        <w:ind w:start="0" w:firstLine="720"/>
      </w:pPr>
      <w:rPr>
        <w:sz w:val="24"/>
        <w:rFonts w:ascii="Times New Roman" w:hAnsi="Times New Roman" w:cs="Times New Roman"/>
      </w:rPr>
    </w:lvl>
    <w:lvl w:ilvl="1">
      <w:start w:val="1"/>
      <w:numFmt w:val="decimal"/>
      <w:lvlText w:val="%2"/>
      <w:lvlJc w:val="start"/>
      <w:pPr>
        <w:tabs>
          <w:tab w:val="num" w:pos="0"/>
        </w:tabs>
        <w:ind w:start="0" w:hanging="0"/>
      </w:pPr>
    </w:lvl>
    <w:lvl w:ilvl="2">
      <w:start w:val="1"/>
      <w:numFmt w:val="decimal"/>
      <w:lvlText w:val="%3"/>
      <w:lvlJc w:val="start"/>
      <w:pPr>
        <w:tabs>
          <w:tab w:val="num" w:pos="0"/>
        </w:tabs>
        <w:ind w:start="0" w:hanging="0"/>
      </w:pPr>
    </w:lvl>
    <w:lvl w:ilvl="3">
      <w:start w:val="1"/>
      <w:numFmt w:val="decimal"/>
      <w:lvlText w:val="%4"/>
      <w:lvlJc w:val="start"/>
      <w:pPr>
        <w:tabs>
          <w:tab w:val="num" w:pos="0"/>
        </w:tabs>
        <w:ind w:start="0" w:hanging="0"/>
      </w:pPr>
    </w:lvl>
    <w:lvl w:ilvl="4">
      <w:start w:val="1"/>
      <w:numFmt w:val="decimal"/>
      <w:lvlText w:val="%5"/>
      <w:lvlJc w:val="start"/>
      <w:pPr>
        <w:tabs>
          <w:tab w:val="num" w:pos="0"/>
        </w:tabs>
        <w:ind w:start="0" w:hanging="0"/>
      </w:pPr>
    </w:lvl>
    <w:lvl w:ilvl="5">
      <w:start w:val="1"/>
      <w:numFmt w:val="decimal"/>
      <w:lvlText w:val="%6"/>
      <w:lvlJc w:val="start"/>
      <w:pPr>
        <w:tabs>
          <w:tab w:val="num" w:pos="0"/>
        </w:tabs>
        <w:ind w:start="0" w:hanging="0"/>
      </w:pPr>
    </w:lvl>
    <w:lvl w:ilvl="6">
      <w:start w:val="1"/>
      <w:numFmt w:val="decimal"/>
      <w:lvlText w:val="%7"/>
      <w:lvlJc w:val="start"/>
      <w:pPr>
        <w:tabs>
          <w:tab w:val="num" w:pos="0"/>
        </w:tabs>
        <w:ind w:start="0" w:hanging="0"/>
      </w:pPr>
    </w:lvl>
    <w:lvl w:ilvl="7">
      <w:start w:val="1"/>
      <w:numFmt w:val="decimal"/>
      <w:lvlText w:val="%8"/>
      <w:lvlJc w:val="start"/>
      <w:pPr>
        <w:tabs>
          <w:tab w:val="num" w:pos="0"/>
        </w:tabs>
        <w:ind w:start="0" w:hanging="0"/>
      </w:pPr>
    </w:lvl>
    <w:lvl w:ilvl="8">
      <w:start w:val="0"/>
      <w:numFmt w:val="decimal"/>
      <w:lvlText w:val=""/>
      <w:lvlJc w:val="start"/>
      <w:pPr>
        <w:tabs>
          <w:tab w:val="num" w:pos="0"/>
        </w:tabs>
        <w:ind w:start="0" w:hanging="0"/>
      </w:pPr>
    </w:lvl>
  </w:abstractNum>
  <w:abstractNum w:abstractNumId="2">
    <w:lvl w:ilvl="0">
      <w:start w:val="1"/>
      <w:numFmt w:val="decimal"/>
      <w:lvlText w:val="%1."/>
      <w:lvlJc w:val="start"/>
      <w:pPr>
        <w:tabs>
          <w:tab w:val="num" w:pos="1080"/>
        </w:tabs>
        <w:ind w:start="0" w:firstLine="720"/>
      </w:pPr>
    </w:lvl>
  </w:abstractNum>
  <w:abstractNum w:abstractNumId="3">
    <w:lvl w:ilvl="0">
      <w:start w:val="1"/>
      <w:numFmt w:val="upperLetter"/>
      <w:lvlText w:val="%1."/>
      <w:lvlJc w:val="start"/>
      <w:pPr>
        <w:tabs>
          <w:tab w:val="num" w:pos="36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color w:val="auto"/>
      </w:rPr>
    </w:lvl>
    <w:lvl w:ilvl="2">
      <w:start w:val="1"/>
      <w:isLgl/>
      <w:numFmt w:val="lowerLetter"/>
      <w:lvlText w:val="%3."/>
      <w:lvlJc w:val="start"/>
      <w:pPr>
        <w:tabs>
          <w:tab w:val="num" w:pos="1080"/>
        </w:tabs>
        <w:ind w:start="0" w:firstLine="720"/>
      </w:pPr>
      <w:rPr>
        <w:sz w:val="24"/>
        <w:i w:val="false"/>
        <w:u w:val="none"/>
        <w:b w:val="false"/>
        <w:rFonts w:ascii="Times New Roman" w:hAnsi="Times New Roman" w:cs="Times New Roman"/>
        <w:color w:val="auto"/>
      </w:rPr>
    </w:lvl>
    <w:lvl w:ilvl="3">
      <w:start w:val="1"/>
      <w:numFmt w:val="lowerRoman"/>
      <w:lvlText w:val="(%4)"/>
      <w:lvlJc w:val="start"/>
      <w:pPr>
        <w:tabs>
          <w:tab w:val="num" w:pos="2160"/>
        </w:tabs>
        <w:ind w:start="720" w:firstLine="720"/>
      </w:pPr>
      <w:rPr>
        <w:sz w:val="24"/>
        <w:i w:val="false"/>
        <w:u w:val="none"/>
        <w:b w:val="false"/>
        <w:rFonts w:ascii="Times New Roman" w:hAnsi="Times New Roman" w:cs="Times New Roman"/>
        <w:color w:val="auto"/>
      </w:rPr>
    </w:lvl>
    <w:lvl w:ilvl="4">
      <w:start w:val="1"/>
      <w:numFmt w:val="upperLetter"/>
      <w:lvlText w:val="(%5)"/>
      <w:lvlJc w:val="start"/>
      <w:pPr>
        <w:tabs>
          <w:tab w:val="num" w:pos="2520"/>
        </w:tabs>
        <w:ind w:start="1440" w:firstLine="720"/>
      </w:pPr>
      <w:rPr>
        <w:sz w:val="24"/>
        <w:i w:val="false"/>
        <w:u w:val="none"/>
        <w:b w:val="false"/>
        <w:rFonts w:ascii="Times New Roman" w:hAnsi="Times New Roman" w:cs="Times New Roman"/>
        <w:color w:val="auto"/>
      </w:rPr>
    </w:lvl>
    <w:lvl w:ilvl="5">
      <w:start w:val="1"/>
      <w:numFmt w:val="decimal"/>
      <w:lvlText w:val="(%6)"/>
      <w:lvlJc w:val="start"/>
      <w:pPr>
        <w:tabs>
          <w:tab w:val="num" w:pos="2520"/>
        </w:tabs>
        <w:ind w:start="1440" w:firstLine="720"/>
      </w:pPr>
      <w:rPr>
        <w:sz w:val="24"/>
        <w:i w:val="false"/>
        <w:u w:val="none"/>
        <w:b w:val="false"/>
        <w:rFonts w:ascii="Times New Roman" w:hAnsi="Times New Roman" w:cs="Times New Roman"/>
        <w:color w:val="auto"/>
      </w:r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480"/>
        </w:tabs>
        <w:ind w:start="5760" w:hanging="0"/>
      </w:pPr>
    </w:lvl>
  </w:abstractNum>
  <w:abstractNum w:abstractNumId="4">
    <w:lvl w:ilvl="0">
      <w:start w:val="1"/>
      <w:numFmt w:val="decimal"/>
      <w:lvlText w:val="%1."/>
      <w:lvlJc w:val="start"/>
      <w:pPr>
        <w:tabs>
          <w:tab w:val="num" w:pos="360"/>
        </w:tabs>
        <w:ind w:start="0" w:hanging="0"/>
      </w:pPr>
    </w:lvl>
  </w:abstractNum>
  <w:abstractNum w:abstractNumId="5">
    <w:lvl w:ilvl="0">
      <w:start w:val="1"/>
      <w:numFmt w:val="upperLetter"/>
      <w:lvlText w:val="%1."/>
      <w:lvlJc w:val="start"/>
      <w:pPr>
        <w:tabs>
          <w:tab w:val="num" w:pos="360"/>
        </w:tabs>
        <w:ind w:start="0" w:hanging="0"/>
      </w:pPr>
      <w:rPr>
        <w:smallCaps w:val="false"/>
        <w:caps w:val="false"/>
        <w:outline w:val="false"/>
        <w:dstrike w:val="false"/>
        <w:strike w:val="false"/>
        <w:vertAlign w:val="baseline"/>
        <w:position w:val="0"/>
        <w:sz w:val="24"/>
        <w:sz w:val="24"/>
        <w:i w:val="false"/>
        <w:shadow w:val="false"/>
        <w:u w:val="none"/>
        <w:b/>
        <w:vanish w:val="false"/>
        <w:rFonts w:ascii="Times New Roman" w:hAnsi="Times New Roman" w:cs="Times New Roman"/>
        <w:color w:val="auto"/>
      </w:rPr>
    </w:lvl>
    <w:lvl w:ilvl="1">
      <w:start w:val="1"/>
      <w:isLgl/>
      <w:numFmt w:val="decimal"/>
      <w:lvlText w:val="%1.%2"/>
      <w:lvlJc w:val="start"/>
      <w:pPr>
        <w:tabs>
          <w:tab w:val="num" w:pos="1080"/>
        </w:tabs>
        <w:ind w:start="0" w:firstLine="720"/>
      </w:pPr>
      <w:rPr>
        <w:sz w:val="24"/>
        <w:i w:val="false"/>
        <w:u w:val="none"/>
        <w:b w:val="false"/>
        <w:rFonts w:ascii="Times New Roman" w:hAnsi="Times New Roman" w:cs="Times New Roman"/>
        <w:color w:val="auto"/>
      </w:rPr>
    </w:lvl>
    <w:lvl w:ilvl="2">
      <w:start w:val="1"/>
      <w:isLgl/>
      <w:numFmt w:val="lowerLetter"/>
      <w:lvlText w:val="%3."/>
      <w:lvlJc w:val="start"/>
      <w:pPr>
        <w:tabs>
          <w:tab w:val="num" w:pos="1800"/>
        </w:tabs>
        <w:ind w:start="0" w:firstLine="1440"/>
      </w:pPr>
      <w:rPr>
        <w:sz w:val="24"/>
        <w:i w:val="false"/>
        <w:u w:val="none"/>
        <w:b w:val="false"/>
        <w:rFonts w:ascii="Times New Roman" w:hAnsi="Times New Roman" w:cs="Times New Roman"/>
        <w:color w:val="auto"/>
      </w:rPr>
    </w:lvl>
    <w:lvl w:ilvl="3">
      <w:start w:val="1"/>
      <w:numFmt w:val="lowerRoman"/>
      <w:lvlText w:val="(%4)"/>
      <w:lvlJc w:val="start"/>
      <w:pPr>
        <w:tabs>
          <w:tab w:val="num" w:pos="2160"/>
        </w:tabs>
        <w:ind w:start="720" w:firstLine="720"/>
      </w:pPr>
      <w:rPr>
        <w:sz w:val="24"/>
        <w:i w:val="false"/>
        <w:u w:val="none"/>
        <w:b w:val="false"/>
        <w:rFonts w:ascii="Times New Roman" w:hAnsi="Times New Roman" w:cs="Times New Roman"/>
        <w:color w:val="auto"/>
      </w:rPr>
    </w:lvl>
    <w:lvl w:ilvl="4">
      <w:start w:val="1"/>
      <w:numFmt w:val="upperLetter"/>
      <w:lvlText w:val="(%5)"/>
      <w:lvlJc w:val="start"/>
      <w:pPr>
        <w:tabs>
          <w:tab w:val="num" w:pos="2520"/>
        </w:tabs>
        <w:ind w:start="1440" w:firstLine="720"/>
      </w:pPr>
      <w:rPr>
        <w:sz w:val="24"/>
        <w:i w:val="false"/>
        <w:u w:val="none"/>
        <w:b w:val="false"/>
        <w:rFonts w:ascii="Times New Roman" w:hAnsi="Times New Roman" w:cs="Times New Roman"/>
        <w:color w:val="auto"/>
      </w:rPr>
    </w:lvl>
    <w:lvl w:ilvl="5">
      <w:start w:val="1"/>
      <w:numFmt w:val="decimal"/>
      <w:lvlText w:val="(%6)"/>
      <w:lvlJc w:val="start"/>
      <w:pPr>
        <w:tabs>
          <w:tab w:val="num" w:pos="2520"/>
        </w:tabs>
        <w:ind w:start="1440" w:firstLine="720"/>
      </w:pPr>
      <w:rPr>
        <w:sz w:val="24"/>
        <w:i w:val="false"/>
        <w:u w:val="none"/>
        <w:b w:val="false"/>
        <w:rFonts w:ascii="Times New Roman" w:hAnsi="Times New Roman" w:cs="Times New Roman"/>
        <w:color w:val="auto"/>
      </w:rPr>
    </w:lvl>
    <w:lvl w:ilvl="6">
      <w:start w:val="1"/>
      <w:numFmt w:val="lowerRoman"/>
      <w:lvlText w:val="(%7)"/>
      <w:lvlJc w:val="start"/>
      <w:pPr>
        <w:tabs>
          <w:tab w:val="num" w:pos="4680"/>
        </w:tabs>
        <w:ind w:start="4320" w:hanging="0"/>
      </w:pPr>
    </w:lvl>
    <w:lvl w:ilvl="7">
      <w:start w:val="1"/>
      <w:numFmt w:val="lowerLetter"/>
      <w:lvlText w:val="(%8)"/>
      <w:lvlJc w:val="start"/>
      <w:pPr>
        <w:tabs>
          <w:tab w:val="num" w:pos="5400"/>
        </w:tabs>
        <w:ind w:start="5040" w:hanging="0"/>
      </w:pPr>
    </w:lvl>
    <w:lvl w:ilvl="8">
      <w:start w:val="1"/>
      <w:numFmt w:val="lowerRoman"/>
      <w:lvlText w:val="(%9)"/>
      <w:lvlJc w:val="start"/>
      <w:pPr>
        <w:tabs>
          <w:tab w:val="num" w:pos="6480"/>
        </w:tabs>
        <w:ind w:start="576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AttorneyName" w:val="-1"/>
    <w:docVar w:name="CaptionBoxStyle" w:val="0"/>
    <w:docVar w:name="CourtAlignment" w:val="0"/>
    <w:docVar w:name="CourtName" w:val="~"/>
    <w:docVar w:name="FirmInFtr" w:val="0"/>
    <w:docVar w:name="FirmInSigBlkStyle" w:val="0"/>
    <w:docVar w:name="FirstLineNum" w:val="1"/>
    <w:docVar w:name="FirstPleadingLine" w:val="1"/>
    <w:docVar w:name="Font" w:val="Courier New"/>
    <w:docVar w:name="IncludeDate" w:val="-1"/>
    <w:docVar w:name="IncludeLineNumbers" w:val="-1"/>
    <w:docVar w:name="JudgeName" w:val="0"/>
    <w:docVar w:name="LeftBorderStyle" w:val="2"/>
    <w:docVar w:name="LineNumIncByOne" w:val="-1"/>
    <w:docVar w:name="LineSpacing" w:val="2"/>
    <w:docVar w:name="LinesPerPage" w:val="28"/>
    <w:docVar w:name="PageNumsInFtr" w:val="-1"/>
    <w:docVar w:name="RightBorderStyle" w:val="1"/>
    <w:docVar w:name="SigBlkYes" w:val="-1"/>
    <w:docVar w:name="SignWith" w:val=" "/>
    <w:docVar w:name="SummaryInFtr" w:val="-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exact" w:line="455"/>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BodyText"/>
    <w:qFormat/>
    <w:pPr>
      <w:numPr>
        <w:ilvl w:val="0"/>
        <w:numId w:val="1"/>
      </w:numPr>
      <w:spacing w:lineRule="exact" w:line="480"/>
      <w:jc w:val="both"/>
      <w:outlineLvl w:val="0"/>
    </w:pPr>
    <w:rPr>
      <w:lang w:eastAsia="en-US"/>
    </w:rPr>
  </w:style>
  <w:style w:type="paragraph" w:styleId="Heading2">
    <w:name w:val="heading 2"/>
    <w:basedOn w:val="Normal"/>
    <w:next w:val="Normal"/>
    <w:qFormat/>
    <w:pPr>
      <w:keepNext w:val="true"/>
      <w:numPr>
        <w:ilvl w:val="0"/>
        <w:numId w:val="5"/>
      </w:numPr>
      <w:spacing w:lineRule="exact" w:line="228"/>
      <w:outlineLvl w:val="1"/>
    </w:pPr>
    <w:rPr>
      <w:b/>
    </w:rPr>
  </w:style>
  <w:style w:type="paragraph" w:styleId="Heading3">
    <w:name w:val="heading 3"/>
    <w:next w:val="BodyText"/>
    <w:qFormat/>
    <w:pPr>
      <w:keepNext w:val="true"/>
      <w:widowControl w:val="false"/>
      <w:bidi w:val="0"/>
      <w:spacing w:lineRule="exact" w:line="228"/>
      <w:jc w:val="center"/>
      <w:outlineLvl w:val="2"/>
    </w:pPr>
    <w:rPr>
      <w:rFonts w:ascii="Times New Roman" w:hAnsi="Times New Roman" w:eastAsia="Times New Roman" w:cs="Times New Roman"/>
      <w:b/>
      <w:color w:val="auto"/>
      <w:sz w:val="24"/>
      <w:szCs w:val="20"/>
      <w:lang w:val="en-CA" w:eastAsia="zh-CN" w:bidi="hi-IN"/>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Times New Roman" w:hAnsi="Times New Roman" w:cs="Times New Roman"/>
      <w:sz w:val="24"/>
    </w:rPr>
  </w:style>
  <w:style w:type="character" w:styleId="WW8Num12z0">
    <w:name w:val="WW8Num12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2z1">
    <w:name w:val="WW8Num12z1"/>
    <w:qFormat/>
    <w:rPr>
      <w:rFonts w:ascii="Times New Roman" w:hAnsi="Times New Roman" w:cs="Times New Roman"/>
      <w:b w:val="false"/>
      <w:i w:val="false"/>
      <w:color w:val="auto"/>
      <w:sz w:val="24"/>
      <w:u w:val="none"/>
    </w:rPr>
  </w:style>
  <w:style w:type="character" w:styleId="WW8Num14z0">
    <w:name w:val="WW8Num14z0"/>
    <w:qFormat/>
    <w:rPr>
      <w:rFonts w:ascii="Times New Roman" w:hAnsi="Times New Roman" w:cs="Times New Roman"/>
      <w:b/>
      <w:i w:val="false"/>
      <w:caps w:val="false"/>
      <w:smallCaps w:val="false"/>
      <w:strike w:val="false"/>
      <w:dstrike w:val="false"/>
      <w:outline w:val="false"/>
      <w:shadow w:val="false"/>
      <w:vanish w:val="false"/>
      <w:color w:val="auto"/>
      <w:position w:val="0"/>
      <w:sz w:val="24"/>
      <w:sz w:val="24"/>
      <w:u w:val="none"/>
      <w:vertAlign w:val="baseline"/>
    </w:rPr>
  </w:style>
  <w:style w:type="character" w:styleId="WW8Num14z1">
    <w:name w:val="WW8Num14z1"/>
    <w:qFormat/>
    <w:rPr>
      <w:rFonts w:ascii="Times New Roman" w:hAnsi="Times New Roman" w:cs="Times New Roman"/>
      <w:b w:val="false"/>
      <w:i w:val="false"/>
      <w:color w:val="auto"/>
      <w:sz w:val="24"/>
      <w:u w:val="none"/>
    </w:rPr>
  </w:style>
  <w:style w:type="character" w:styleId="DefaultParagraphFont">
    <w:name w:val="Default Paragraph Font"/>
    <w:qFormat/>
    <w:rPr/>
  </w:style>
  <w:style w:type="character" w:styleId="PageNumber">
    <w:name w:val="page number"/>
    <w:basedOn w:val="DefaultParagraphFon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firstLine="72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spacing w:lineRule="auto" w:line="240"/>
    </w:pPr>
    <w:rPr/>
  </w:style>
  <w:style w:type="paragraph" w:styleId="DOCREQ">
    <w:name w:val="__DOC REQ #"/>
    <w:basedOn w:val="Normal"/>
    <w:next w:val="Normal"/>
    <w:qFormat/>
    <w:pPr>
      <w:keepNext w:val="true"/>
      <w:widowControl w:val="false"/>
      <w:spacing w:lineRule="exact" w:line="456"/>
    </w:pPr>
    <w:rPr>
      <w:b/>
      <w:u w:val="single"/>
      <w:lang w:eastAsia="en-US"/>
    </w:rPr>
  </w:style>
  <w:style w:type="paragraph" w:styleId="Text2sp1stLtab">
    <w:name w:val="__Text 2sp 1stL tab"/>
    <w:basedOn w:val="Normal"/>
    <w:qFormat/>
    <w:pPr>
      <w:spacing w:lineRule="exact" w:line="456"/>
      <w:ind w:firstLine="720" w:start="0" w:end="0"/>
    </w:pPr>
    <w:rPr>
      <w:lang w:eastAsia="en-US"/>
    </w:rPr>
  </w:style>
  <w:style w:type="paragraph" w:styleId="BodyTextIndent">
    <w:name w:val="Body Text Indent"/>
    <w:basedOn w:val="Normal"/>
    <w:pPr>
      <w:spacing w:before="0" w:after="120"/>
      <w:ind w:hanging="0" w:start="360" w:end="0"/>
    </w:pPr>
    <w:rPr/>
  </w:style>
  <w:style w:type="paragraph" w:styleId="Pleadingtext2SP">
    <w:name w:val="_Pleading text 2SP"/>
    <w:basedOn w:val="BodyTextIndent"/>
    <w:qFormat/>
    <w:pPr>
      <w:spacing w:lineRule="exact" w:line="455" w:before="0" w:after="0"/>
      <w:ind w:firstLine="720" w:start="0" w:end="0"/>
    </w:pPr>
    <w:rPr/>
  </w:style>
  <w:style w:type="paragraph" w:styleId="BodyText2">
    <w:name w:val="Body Text 2"/>
    <w:basedOn w:val="Normal"/>
    <w:qFormat/>
    <w:pPr/>
    <w:rPr>
      <w:b/>
    </w:rPr>
  </w:style>
  <w:style w:type="paragraph" w:styleId="BlockText">
    <w:name w:val="Block Text"/>
    <w:qFormat/>
    <w:pPr>
      <w:widowControl/>
      <w:bidi w:val="0"/>
      <w:ind w:hanging="0" w:start="1440" w:end="1440"/>
      <w:jc w:val="both"/>
    </w:pPr>
    <w:rPr>
      <w:rFonts w:ascii="Times New Roman" w:hAnsi="Times New Roman" w:eastAsia="Times New Roman" w:cs="Times New Roman"/>
      <w:color w:val="auto"/>
      <w:sz w:val="24"/>
      <w:szCs w:val="20"/>
      <w:lang w:val="en-CA" w:eastAsia="zh-CN" w:bidi="hi-IN"/>
    </w:rPr>
  </w:style>
  <w:style w:type="paragraph" w:styleId="FootnoteText">
    <w:name w:val="footnote text"/>
    <w:basedOn w:val="Normal"/>
    <w:pPr>
      <w:spacing w:lineRule="exact" w:line="228"/>
    </w:pPr>
    <w:rPr>
      <w:sz w:val="20"/>
    </w:rPr>
  </w:style>
  <w:style w:type="paragraph" w:styleId="HeadingA">
    <w:name w:val="Heading A."/>
    <w:next w:val="BodyText"/>
    <w:qFormat/>
    <w:pPr>
      <w:widowControl/>
      <w:numPr>
        <w:ilvl w:val="0"/>
        <w:numId w:val="3"/>
      </w:numPr>
      <w:tabs>
        <w:tab w:val="clear" w:pos="720"/>
      </w:tabs>
      <w:bidi w:val="0"/>
      <w:spacing w:lineRule="exact" w:line="455"/>
    </w:pPr>
    <w:rPr>
      <w:rFonts w:ascii="Times New Roman" w:hAnsi="Times New Roman" w:eastAsia="Times New Roman" w:cs="Times New Roman"/>
      <w:b/>
      <w:color w:val="auto"/>
      <w:sz w:val="24"/>
      <w:szCs w:val="20"/>
      <w:u w:val="single"/>
      <w:lang w:val="en-CA" w:eastAsia="zh-CN" w:bidi="hi-IN"/>
    </w:rPr>
  </w:style>
  <w:style w:type="paragraph" w:styleId="List1">
    <w:name w:val="__List 1."/>
    <w:basedOn w:val="Normal"/>
    <w:qFormat/>
    <w:pPr>
      <w:numPr>
        <w:ilvl w:val="0"/>
        <w:numId w:val="2"/>
      </w:numPr>
    </w:pPr>
    <w:rPr/>
  </w:style>
  <w:style w:type="paragraph" w:styleId="ListNumber2">
    <w:name w:val="List Number 2"/>
    <w:basedOn w:val="Normal"/>
    <w:qFormat/>
    <w:pPr>
      <w:numPr>
        <w:ilvl w:val="0"/>
        <w:numId w:val="4"/>
      </w:numPr>
      <w:tabs>
        <w:tab w:val="clear" w:pos="720"/>
      </w:tabs>
      <w:ind w:firstLine="720" w:start="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SF Pleading</Template>
  <TotalTime>109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2001-08-22T22:44:00Z</dcterms:created>
  <dc:creator>Donna Karbach</dc:creator>
  <dc:description/>
  <cp:keywords>SF 159365.1 02618 00125</cp:keywords>
  <dc:language>en-CA</dc:language>
  <cp:lastModifiedBy>LeBoeuf, Lamb, Greene &amp; MacRae, L.L.P.</cp:lastModifiedBy>
  <cp:lastPrinted>2001-08-22T20:51:00Z</cp:lastPrinted>
  <dcterms:modified xsi:type="dcterms:W3CDTF">2001-08-23T01:22:00Z</dcterms:modified>
  <cp:revision>31</cp:revision>
  <dc:subject/>
  <dc:title>Pleading</dc:title>
</cp:coreProperties>
</file>