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ab/>
        <w:t>September 21, 2000</w:t>
      </w:r>
    </w:p>
    <w:p>
      <w:pPr>
        <w:pStyle w:val="Normal"/>
        <w:rPr/>
      </w:pPr>
      <w:r>
        <w:rPr/>
        <w:t>Mr. Hunter Shively</w:t>
      </w:r>
    </w:p>
    <w:p>
      <w:pPr>
        <w:pStyle w:val="Normal"/>
        <w:rPr/>
      </w:pPr>
      <w:r>
        <w:rPr/>
        <w:t>Enron</w:t>
      </w:r>
    </w:p>
    <w:p>
      <w:pPr>
        <w:pStyle w:val="Normal"/>
        <w:rPr/>
      </w:pPr>
      <w:r>
        <w:rPr/>
        <w:t>1400 Smith Street</w:t>
      </w:r>
    </w:p>
    <w:p>
      <w:pPr>
        <w:pStyle w:val="Normal"/>
        <w:rPr/>
      </w:pPr>
      <w:r>
        <w:rPr/>
        <w:t>32nd Floor</w:t>
      </w:r>
    </w:p>
    <w:p>
      <w:pPr>
        <w:pStyle w:val="Normal"/>
        <w:rPr/>
      </w:pPr>
      <w:r>
        <w:rPr/>
        <w:t>Houston, TX  77002-7361</w:t>
      </w:r>
    </w:p>
    <w:p>
      <w:pPr>
        <w:pStyle w:val="Normal"/>
        <w:rPr/>
      </w:pPr>
      <w:r>
        <w:rPr/>
      </w:r>
    </w:p>
    <w:p>
      <w:pPr>
        <w:pStyle w:val="Normal"/>
        <w:rPr/>
      </w:pPr>
      <w:r>
        <w:rPr/>
      </w:r>
    </w:p>
    <w:p>
      <w:pPr>
        <w:pStyle w:val="Normal"/>
        <w:rPr/>
      </w:pPr>
      <w:r>
        <w:rPr/>
        <w:t>Hunter:</w:t>
      </w:r>
    </w:p>
    <w:p>
      <w:pPr>
        <w:pStyle w:val="Normal"/>
        <w:rPr/>
      </w:pPr>
      <w:r>
        <w:rPr/>
      </w:r>
    </w:p>
    <w:p>
      <w:pPr>
        <w:pStyle w:val="Normal"/>
        <w:rPr/>
      </w:pPr>
      <w:r>
        <w:rPr/>
        <w:t xml:space="preserve">As we discussed, the goal of this agreement is to give you confidence that Enron’s trade secrets and confidential trading information will not be inadvertently passed on to Enron’s competitors through application design or architecture processes via our consultants.  We are excited about expanding our relationship with your company and becoming more involved in the development of  strategic business applications for  Enron’s trading area. </w:t>
      </w:r>
    </w:p>
    <w:p>
      <w:pPr>
        <w:pStyle w:val="Normal"/>
        <w:rPr/>
      </w:pPr>
      <w:r>
        <w:rPr/>
      </w:r>
    </w:p>
    <w:p>
      <w:pPr>
        <w:pStyle w:val="Normal"/>
        <w:rPr/>
      </w:pPr>
      <w:r>
        <w:rPr/>
        <w:t>For this purpose, Software Architects, Inc. agrees not to assign our employees whom have worked in the Enron trading area to a project working in a competitor’s trading area for at least one year from the date of completing working under your direction.  In addition, we will make you aware of  the  business purpose for  any applications the consultants  develop subsequent to being under your direction and within the one year period.</w:t>
      </w:r>
    </w:p>
    <w:p>
      <w:pPr>
        <w:pStyle w:val="Normal"/>
        <w:rPr/>
      </w:pPr>
      <w:r>
        <w:rPr/>
      </w:r>
    </w:p>
    <w:p>
      <w:pPr>
        <w:pStyle w:val="Normal"/>
        <w:rPr/>
      </w:pPr>
      <w:r>
        <w:rPr/>
        <w:t>Once again, we are excited about the opportunity this creates for both Software Architects, Inc. and Enron.  Our technical expertise and Enron’s positioning in the trading arena will create a great team as we look towards the future.  If you have any questions about Software Architects’ commitment to keeping Enron’s confidential and proprietary information away from your competitors, please contact me at 713-787-0887.</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Brett Fisher</w:t>
      </w:r>
    </w:p>
    <w:p>
      <w:pPr>
        <w:pStyle w:val="Normal"/>
        <w:rPr/>
      </w:pPr>
      <w:r>
        <w:rPr/>
        <w:t>Houston Branch Manager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2000-09-22T12:22:00Z</dcterms:created>
  <dc:creator>Brett Fisher</dc:creator>
  <dc:description/>
  <dc:language>en-CA</dc:language>
  <cp:lastModifiedBy>Jack Keith</cp:lastModifiedBy>
  <dcterms:modified xsi:type="dcterms:W3CDTF">2000-09-22T12:22:00Z</dcterms:modified>
  <cp:revision>2</cp:revision>
  <dc:subject/>
  <dc:title/>
</cp:coreProperties>
</file>