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
        <w:ind w:start="0" w:end="0"/>
        <w:jc w:val="center"/>
        <w:rPr>
          <w:b/>
          <w:bCs/>
          <w:color w:val="000000"/>
          <w:sz w:val="22"/>
        </w:rPr>
      </w:pPr>
      <w:r>
        <w:rPr>
          <w:b/>
          <w:bCs/>
          <w:color w:val="000000"/>
          <w:sz w:val="22"/>
        </w:rPr>
        <w:t>Enron Metals Re-Branding</w:t>
      </w:r>
    </w:p>
    <w:p>
      <w:pPr>
        <w:pStyle w:val="Body"/>
        <w:ind w:start="0" w:end="0"/>
        <w:jc w:val="center"/>
        <w:rPr>
          <w:b/>
          <w:bCs/>
          <w:color w:val="000000"/>
          <w:sz w:val="22"/>
        </w:rPr>
      </w:pPr>
      <w:r>
        <w:rPr>
          <w:b/>
          <w:bCs/>
          <w:color w:val="000000"/>
          <w:sz w:val="22"/>
        </w:rPr>
      </w:r>
    </w:p>
    <w:p>
      <w:pPr>
        <w:pStyle w:val="Body"/>
        <w:ind w:start="0" w:end="0"/>
        <w:jc w:val="both"/>
        <w:rPr>
          <w:b/>
          <w:bCs/>
          <w:color w:val="000000"/>
          <w:sz w:val="22"/>
        </w:rPr>
      </w:pPr>
      <w:r>
        <w:rPr>
          <w:b/>
          <w:bCs/>
          <w:color w:val="000000"/>
          <w:sz w:val="22"/>
        </w:rPr>
      </w:r>
    </w:p>
    <w:p>
      <w:pPr>
        <w:pStyle w:val="Body"/>
        <w:numPr>
          <w:ilvl w:val="0"/>
          <w:numId w:val="1"/>
        </w:numPr>
        <w:tabs>
          <w:tab w:val="left" w:pos="720" w:leader="none"/>
        </w:tabs>
        <w:ind w:hanging="360" w:start="720" w:end="0"/>
        <w:jc w:val="both"/>
        <w:rPr>
          <w:b/>
          <w:bCs/>
          <w:color w:val="000000"/>
          <w:sz w:val="22"/>
        </w:rPr>
      </w:pPr>
      <w:r>
        <w:rPr>
          <w:b/>
          <w:bCs/>
          <w:color w:val="000000"/>
          <w:sz w:val="22"/>
        </w:rPr>
        <w:t xml:space="preserve">Change of Name </w:t>
      </w:r>
    </w:p>
    <w:p>
      <w:pPr>
        <w:pStyle w:val="Body"/>
        <w:ind w:start="360" w:end="0"/>
        <w:jc w:val="both"/>
        <w:rPr>
          <w:b/>
          <w:bCs/>
          <w:color w:val="000000"/>
          <w:sz w:val="22"/>
        </w:rPr>
      </w:pPr>
      <w:r>
        <w:rPr>
          <w:b/>
          <w:bCs/>
          <w:color w:val="000000"/>
          <w:sz w:val="22"/>
        </w:rPr>
      </w:r>
    </w:p>
    <w:p>
      <w:pPr>
        <w:pStyle w:val="Body"/>
        <w:ind w:start="720" w:end="0"/>
        <w:jc w:val="both"/>
        <w:rPr/>
      </w:pPr>
      <w:r>
        <w:rPr>
          <w:color w:val="000000"/>
          <w:sz w:val="22"/>
        </w:rPr>
        <w:t xml:space="preserve">Of the three core trading entities within Enron Metals, two name changes have been implemented.  Namely, Metallgesellschaft Ltd. and MG Brokers Limited have been renamed as </w:t>
      </w:r>
      <w:r>
        <w:rPr>
          <w:b/>
          <w:bCs/>
          <w:i/>
          <w:iCs/>
          <w:color w:val="000000"/>
          <w:sz w:val="22"/>
        </w:rPr>
        <w:t>Enron Metals Limited</w:t>
      </w:r>
      <w:r>
        <w:rPr>
          <w:i/>
          <w:iCs/>
          <w:color w:val="000000"/>
          <w:sz w:val="22"/>
        </w:rPr>
        <w:t xml:space="preserve"> </w:t>
      </w:r>
      <w:r>
        <w:rPr>
          <w:color w:val="000000"/>
          <w:sz w:val="22"/>
        </w:rPr>
        <w:t xml:space="preserve">and </w:t>
      </w:r>
      <w:r>
        <w:rPr>
          <w:b/>
          <w:bCs/>
          <w:i/>
          <w:iCs/>
          <w:color w:val="000000"/>
          <w:sz w:val="22"/>
        </w:rPr>
        <w:t>Enron Metals Brokers Limited</w:t>
      </w:r>
      <w:r>
        <w:rPr>
          <w:color w:val="000000"/>
          <w:sz w:val="22"/>
        </w:rPr>
        <w:t xml:space="preserve"> respectively. The third trading entity, MG Metal &amp; Commodity Company is scheduled to undergo its change of name on 11</w:t>
      </w:r>
      <w:r>
        <w:rPr>
          <w:color w:val="000000"/>
          <w:sz w:val="22"/>
          <w:vertAlign w:val="superscript"/>
        </w:rPr>
        <w:t>th</w:t>
      </w:r>
      <w:r>
        <w:rPr>
          <w:color w:val="000000"/>
          <w:sz w:val="22"/>
        </w:rPr>
        <w:t xml:space="preserve"> September to become </w:t>
      </w:r>
      <w:r>
        <w:rPr>
          <w:b/>
          <w:bCs/>
          <w:i/>
          <w:iCs/>
          <w:color w:val="000000"/>
          <w:sz w:val="22"/>
        </w:rPr>
        <w:t>Enron Metals &amp; Commodity Limited</w:t>
      </w:r>
      <w:r>
        <w:rPr>
          <w:color w:val="000000"/>
          <w:sz w:val="22"/>
        </w:rPr>
        <w:t xml:space="preserve">.  </w:t>
      </w:r>
      <w:r>
        <w:rPr>
          <w:i/>
          <w:iCs/>
          <w:color w:val="000000"/>
          <w:sz w:val="22"/>
        </w:rPr>
        <w:t>Please note that in the lead up to the metals team’s relocation to Enron House, all telephone and fax communications are being re-routed back to One America Square so as to ensure continuity of the trading business.</w:t>
      </w:r>
      <w:r>
        <w:rPr>
          <w:color w:val="000000"/>
          <w:sz w:val="22"/>
        </w:rPr>
        <w:t xml:space="preserve">  </w:t>
      </w:r>
    </w:p>
    <w:p>
      <w:pPr>
        <w:pStyle w:val="Body"/>
        <w:ind w:start="1080" w:end="0"/>
        <w:jc w:val="both"/>
        <w:rPr>
          <w:color w:val="000000"/>
          <w:sz w:val="22"/>
        </w:rPr>
      </w:pPr>
      <w:r>
        <w:rPr>
          <w:color w:val="000000"/>
          <w:sz w:val="22"/>
        </w:rPr>
      </w:r>
    </w:p>
    <w:p>
      <w:pPr>
        <w:pStyle w:val="Body"/>
        <w:ind w:start="720" w:end="0"/>
        <w:jc w:val="both"/>
        <w:rPr>
          <w:color w:val="000000"/>
          <w:sz w:val="22"/>
        </w:rPr>
      </w:pPr>
      <w:r>
        <w:rPr>
          <w:color w:val="000000"/>
          <w:sz w:val="22"/>
        </w:rPr>
        <w:t>Following the completion of the rebranding for these core trading entities, we will focus our efforts on the overseas entities and branch offices.  Priority will be given to Germany, Japan and the United States.  Advance notification will be given to each overseas office regarding the re-branding initiative so as to facilitate planning and co-ordination with local counsel, on-site compliance officers in the case of regulated business and any IT resources.</w:t>
      </w:r>
    </w:p>
    <w:p>
      <w:pPr>
        <w:pStyle w:val="Body"/>
        <w:ind w:start="360" w:end="0"/>
        <w:jc w:val="both"/>
        <w:rPr>
          <w:b/>
          <w:bCs/>
          <w:color w:val="000000"/>
          <w:sz w:val="22"/>
        </w:rPr>
      </w:pPr>
      <w:r>
        <w:rPr>
          <w:b/>
          <w:bCs/>
          <w:color w:val="000000"/>
          <w:sz w:val="22"/>
        </w:rPr>
      </w:r>
    </w:p>
    <w:p>
      <w:pPr>
        <w:pStyle w:val="Body"/>
        <w:numPr>
          <w:ilvl w:val="0"/>
          <w:numId w:val="1"/>
        </w:numPr>
        <w:tabs>
          <w:tab w:val="left" w:pos="720" w:leader="none"/>
        </w:tabs>
        <w:ind w:hanging="360" w:start="720" w:end="0"/>
        <w:jc w:val="both"/>
        <w:rPr>
          <w:b/>
          <w:bCs/>
          <w:color w:val="000000"/>
          <w:sz w:val="22"/>
        </w:rPr>
      </w:pPr>
      <w:r>
        <w:rPr>
          <w:b/>
          <w:bCs/>
          <w:color w:val="000000"/>
          <w:sz w:val="22"/>
        </w:rPr>
        <w:t>Stationary and Business Cards</w:t>
      </w:r>
    </w:p>
    <w:p>
      <w:pPr>
        <w:pStyle w:val="Body"/>
        <w:ind w:start="360" w:end="0"/>
        <w:jc w:val="both"/>
        <w:rPr>
          <w:b/>
          <w:bCs/>
          <w:color w:val="000000"/>
          <w:sz w:val="22"/>
        </w:rPr>
      </w:pPr>
      <w:r>
        <w:rPr>
          <w:b/>
          <w:bCs/>
          <w:color w:val="000000"/>
          <w:sz w:val="22"/>
        </w:rPr>
      </w:r>
    </w:p>
    <w:p>
      <w:pPr>
        <w:pStyle w:val="Body"/>
        <w:ind w:start="720" w:end="0"/>
        <w:jc w:val="both"/>
        <w:rPr>
          <w:color w:val="000000"/>
          <w:sz w:val="22"/>
        </w:rPr>
      </w:pPr>
      <w:r>
        <w:rPr>
          <w:color w:val="000000"/>
          <w:sz w:val="22"/>
        </w:rPr>
        <w:t>All stationary requests are being handled by the Facilities and Real Estate Department (Contact:  Toby Knight) in London.  This includes requests for temporary letterhead templates that may be required in advance of the completion of the rebranding initiative.  For those employees located in remote offices, design mock-ups are available along with the company logo specifications for use by local printers.</w:t>
      </w:r>
    </w:p>
    <w:p>
      <w:pPr>
        <w:pStyle w:val="Body"/>
        <w:ind w:start="720" w:end="0"/>
        <w:jc w:val="both"/>
        <w:rPr>
          <w:color w:val="000000"/>
          <w:sz w:val="22"/>
        </w:rPr>
      </w:pPr>
      <w:r>
        <w:rPr>
          <w:color w:val="000000"/>
          <w:sz w:val="22"/>
        </w:rPr>
      </w:r>
    </w:p>
    <w:p>
      <w:pPr>
        <w:pStyle w:val="Body"/>
        <w:ind w:start="1080" w:end="0"/>
        <w:jc w:val="both"/>
        <w:rPr>
          <w:color w:val="000000"/>
          <w:sz w:val="22"/>
        </w:rPr>
      </w:pPr>
      <w:r>
        <w:rPr>
          <w:color w:val="000000"/>
          <w:sz w:val="22"/>
        </w:rPr>
      </w:r>
    </w:p>
    <w:p>
      <w:pPr>
        <w:pStyle w:val="Body"/>
        <w:ind w:start="720" w:end="0"/>
        <w:jc w:val="both"/>
        <w:rPr>
          <w:color w:val="000000"/>
          <w:sz w:val="22"/>
        </w:rPr>
      </w:pPr>
      <w:r>
        <w:rPr>
          <w:color w:val="000000"/>
          <w:sz w:val="22"/>
        </w:rPr>
        <w:t>Business cards should also be requested from the Facilities and Real Estate Department (Contact:  Amanda Meader) in London.   As with stationary, design mock-ups and logo specifications may be supplied to employees at remote offices to facilitate local printing of business cards.</w:t>
      </w:r>
    </w:p>
    <w:p>
      <w:pPr>
        <w:pStyle w:val="Body"/>
        <w:ind w:start="0" w:end="0"/>
        <w:jc w:val="both"/>
        <w:rPr>
          <w:color w:val="000000"/>
          <w:sz w:val="22"/>
        </w:rPr>
      </w:pPr>
      <w:r>
        <w:rPr>
          <w:color w:val="000000"/>
          <w:sz w:val="22"/>
        </w:rPr>
      </w:r>
    </w:p>
    <w:p>
      <w:pPr>
        <w:pStyle w:val="Body"/>
        <w:numPr>
          <w:ilvl w:val="0"/>
          <w:numId w:val="1"/>
        </w:numPr>
        <w:tabs>
          <w:tab w:val="left" w:pos="720" w:leader="none"/>
        </w:tabs>
        <w:ind w:hanging="360" w:start="720" w:end="0"/>
        <w:jc w:val="both"/>
        <w:rPr>
          <w:b/>
          <w:bCs/>
          <w:color w:val="000000"/>
          <w:sz w:val="22"/>
        </w:rPr>
      </w:pPr>
      <w:r>
        <w:rPr>
          <w:b/>
          <w:bCs/>
          <w:color w:val="000000"/>
          <w:sz w:val="22"/>
        </w:rPr>
        <w:t>Client and Vendor Notifications</w:t>
      </w:r>
    </w:p>
    <w:p>
      <w:pPr>
        <w:pStyle w:val="Body"/>
        <w:ind w:start="360" w:end="0"/>
        <w:jc w:val="both"/>
        <w:rPr>
          <w:b/>
          <w:bCs/>
          <w:color w:val="000000"/>
          <w:sz w:val="22"/>
        </w:rPr>
      </w:pPr>
      <w:r>
        <w:rPr>
          <w:b/>
          <w:bCs/>
          <w:color w:val="000000"/>
          <w:sz w:val="22"/>
        </w:rPr>
      </w:r>
    </w:p>
    <w:p>
      <w:pPr>
        <w:pStyle w:val="Body"/>
        <w:ind w:start="720" w:end="0"/>
        <w:jc w:val="both"/>
        <w:rPr>
          <w:color w:val="000000"/>
          <w:sz w:val="22"/>
        </w:rPr>
      </w:pPr>
      <w:r>
        <w:rPr>
          <w:color w:val="000000"/>
          <w:sz w:val="22"/>
        </w:rPr>
        <w:t>A change of name and change of address notification is to be sent out from London in advance of the move to Enron House on 18</w:t>
      </w:r>
      <w:r>
        <w:rPr>
          <w:color w:val="000000"/>
          <w:sz w:val="22"/>
          <w:vertAlign w:val="superscript"/>
        </w:rPr>
        <w:t>th</w:t>
      </w:r>
      <w:r>
        <w:rPr>
          <w:color w:val="000000"/>
          <w:sz w:val="22"/>
        </w:rPr>
        <w:t xml:space="preserve"> September.  Copies of the London change of name and address notification card are available for review from Public Relations and Communications.  Foreign offices should plan to send out similar notifications in the case of 1) an office move and/or 2) the completion of their change of name.  </w:t>
      </w:r>
      <w:r>
        <w:rPr>
          <w:i/>
          <w:iCs/>
          <w:color w:val="000000"/>
          <w:sz w:val="22"/>
        </w:rPr>
        <w:t>Please note, however that the Public Relations and Communications department must review and approve the design and text of such notifications.</w:t>
      </w:r>
    </w:p>
    <w:p>
      <w:pPr>
        <w:pStyle w:val="Body"/>
        <w:ind w:start="720" w:end="0"/>
        <w:jc w:val="both"/>
        <w:rPr>
          <w:color w:val="000000"/>
          <w:sz w:val="22"/>
        </w:rPr>
      </w:pPr>
      <w:r>
        <w:rPr>
          <w:color w:val="000000"/>
          <w:sz w:val="22"/>
        </w:rPr>
      </w:r>
    </w:p>
    <w:p>
      <w:pPr>
        <w:pStyle w:val="Body"/>
        <w:ind w:start="720" w:end="0"/>
        <w:jc w:val="both"/>
        <w:rPr>
          <w:color w:val="000000"/>
          <w:sz w:val="22"/>
        </w:rPr>
      </w:pPr>
      <w:r>
        <w:rPr>
          <w:color w:val="000000"/>
          <w:sz w:val="22"/>
        </w:rPr>
      </w:r>
    </w:p>
    <w:p>
      <w:pPr>
        <w:pStyle w:val="Body"/>
        <w:ind w:start="720" w:end="0"/>
        <w:jc w:val="both"/>
        <w:rPr>
          <w:color w:val="000000"/>
          <w:sz w:val="22"/>
        </w:rPr>
      </w:pPr>
      <w:r>
        <w:rPr>
          <w:color w:val="000000"/>
          <w:sz w:val="22"/>
        </w:rPr>
      </w:r>
    </w:p>
    <w:p>
      <w:pPr>
        <w:pStyle w:val="Body"/>
        <w:ind w:start="720" w:end="0"/>
        <w:jc w:val="both"/>
        <w:rPr>
          <w:color w:val="000000"/>
          <w:sz w:val="22"/>
        </w:rPr>
      </w:pPr>
      <w:r>
        <w:rPr>
          <w:color w:val="000000"/>
          <w:sz w:val="22"/>
        </w:rPr>
      </w:r>
    </w:p>
    <w:p>
      <w:pPr>
        <w:pStyle w:val="Normal"/>
        <w:rPr>
          <w:color w:val="000000"/>
          <w:sz w:val="22"/>
        </w:rPr>
      </w:pPr>
      <w:r>
        <w:rPr>
          <w:color w:val="000000"/>
          <w:sz w:val="22"/>
        </w:rPr>
      </w:r>
    </w:p>
    <w:sectPr>
      <w:type w:val="nextPage"/>
      <w:pgSz w:w="11906" w:h="16838"/>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o"/>
      <w:lvlJc w:val="start"/>
      <w:pPr>
        <w:tabs>
          <w:tab w:val="num" w:pos="792"/>
        </w:tabs>
        <w:ind w:start="792" w:hanging="360"/>
      </w:pPr>
      <w:rPr>
        <w:rFonts w:ascii="Courier New" w:hAnsi="Courier New" w:cs="Courier New"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0"/>
      <w:szCs w:val="20"/>
      <w:lang w:val="en-GB" w:bidi="ar-SA" w:eastAsia="zh-CN"/>
    </w:rPr>
  </w:style>
  <w:style w:type="character" w:styleId="WW8Num1z0">
    <w:name w:val="WW8Num1z0"/>
    <w:qFormat/>
    <w:rPr>
      <w:rFonts w:ascii="Courier New" w:hAnsi="Courier New" w:cs="Courier New"/>
    </w:rPr>
  </w:style>
  <w:style w:type="character" w:styleId="WW8Num1z1">
    <w:name w:val="WW8Num1z1"/>
    <w:qFormat/>
    <w:rPr>
      <w:rFonts w:ascii="Times New Roman" w:hAnsi="Times New Roman" w:eastAsia="Times New Roman" w:cs="Times New Roman"/>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
    <w:name w:val="Body"/>
    <w:basedOn w:val="Normal"/>
    <w:qFormat/>
    <w:pPr>
      <w:overflowPunct w:val="true"/>
      <w:autoSpaceDE w:val="true"/>
      <w:ind w:hanging="0" w:start="72" w:end="0"/>
      <w:textAlignment w:val="auto"/>
    </w:pPr>
    <w:rPr>
      <w:rFonts w:ascii="Arial" w:hAnsi="Arial" w:cs="Arial"/>
      <w:color w:val="00008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2000-09-08T12:56:00Z</dcterms:created>
  <dc:creator>fgrant</dc:creator>
  <dc:description/>
  <dc:language>en-CA</dc:language>
  <cp:lastModifiedBy>fgrant</cp:lastModifiedBy>
  <dcterms:modified xsi:type="dcterms:W3CDTF">2000-09-08T12:56:00Z</dcterms:modified>
  <cp:revision>2</cp:revision>
  <dc:subject/>
  <dc:title>o</dc:title>
</cp:coreProperties>
</file>