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sz w:val="24"/>
          <w:lang w:eastAsia="ja-JP"/>
        </w:rPr>
        <w:t>11</w:t>
      </w:r>
      <w:r>
        <w:rPr>
          <w:sz w:val="24"/>
        </w:rPr>
        <w:t xml:space="preserve"> August 2000</w:t>
      </w:r>
    </w:p>
    <w:p>
      <w:pPr>
        <w:pStyle w:val="Normal"/>
        <w:jc w:val="both"/>
        <w:rPr>
          <w:sz w:val="24"/>
        </w:rPr>
      </w:pPr>
      <w:r>
        <w:rPr>
          <w:sz w:val="24"/>
        </w:rPr>
      </w:r>
    </w:p>
    <w:p>
      <w:pPr>
        <w:pStyle w:val="Normal"/>
        <w:jc w:val="center"/>
        <w:rPr>
          <w:b/>
          <w:sz w:val="24"/>
          <w:lang w:eastAsia="ja-JP"/>
        </w:rPr>
      </w:pPr>
      <w:r>
        <w:rPr>
          <w:b/>
          <w:sz w:val="24"/>
          <w:lang w:eastAsia="ja-JP"/>
        </w:rPr>
        <w:t>ADVICE ON ALUMINUM TRADING</w:t>
      </w:r>
    </w:p>
    <w:p>
      <w:pPr>
        <w:pStyle w:val="Normal"/>
        <w:pBdr>
          <w:bottom w:val="single" w:sz="12" w:space="1" w:color="000000"/>
        </w:pBdr>
        <w:jc w:val="both"/>
        <w:rPr>
          <w:b/>
          <w:sz w:val="24"/>
          <w:lang w:eastAsia="ja-JP"/>
        </w:rPr>
      </w:pPr>
      <w:r>
        <w:rPr>
          <w:b/>
          <w:sz w:val="24"/>
          <w:lang w:eastAsia="ja-JP"/>
        </w:rPr>
      </w:r>
    </w:p>
    <w:p>
      <w:pPr>
        <w:pStyle w:val="Date"/>
        <w:rPr>
          <w:rFonts w:ascii="Times New Roman" w:hAnsi="Times New Roman" w:cs="Times New Roman"/>
          <w:b/>
          <w:sz w:val="24"/>
        </w:rPr>
      </w:pPr>
      <w:r>
        <w:rPr>
          <w:rFonts w:cs="Times New Roman" w:ascii="Times New Roman" w:hAnsi="Times New Roman"/>
          <w:b/>
          <w:sz w:val="24"/>
        </w:rPr>
      </w:r>
    </w:p>
    <w:p>
      <w:pPr>
        <w:pStyle w:val="Normal"/>
        <w:jc w:val="both"/>
        <w:rPr>
          <w:b/>
          <w:sz w:val="24"/>
          <w:lang w:eastAsia="ja-JP"/>
        </w:rPr>
      </w:pPr>
      <w:r>
        <w:rPr>
          <w:b/>
          <w:sz w:val="24"/>
          <w:lang w:eastAsia="ja-JP"/>
        </w:rPr>
        <w:t>Proposed Business</w:t>
      </w:r>
    </w:p>
    <w:p>
      <w:pPr>
        <w:pStyle w:val="Normal"/>
        <w:jc w:val="both"/>
        <w:rPr>
          <w:b/>
          <w:sz w:val="24"/>
          <w:lang w:eastAsia="ja-JP"/>
        </w:rPr>
      </w:pPr>
      <w:r>
        <w:rPr>
          <w:b/>
          <w:sz w:val="24"/>
          <w:lang w:eastAsia="ja-JP"/>
        </w:rPr>
      </w:r>
    </w:p>
    <w:p>
      <w:pPr>
        <w:pStyle w:val="WPW"/>
        <w:widowControl/>
        <w:rPr/>
      </w:pPr>
      <w:r>
        <w:rPr>
          <w:lang w:eastAsia="ja-JP"/>
        </w:rPr>
        <w:t>From Marcus Nettleton</w:t>
      </w:r>
      <w:r>
        <w:rPr>
          <w:lang w:eastAsia="ja-JP"/>
        </w:rPr>
        <w:t>’</w:t>
      </w:r>
      <w:r>
        <w:rPr>
          <w:lang w:eastAsia="ja-JP"/>
        </w:rPr>
        <w:t>s email of August 2, 2000, we understand Enron proposes to commence the following kinds of transactions:</w:t>
      </w:r>
    </w:p>
    <w:p>
      <w:pPr>
        <w:pStyle w:val="Normal"/>
        <w:jc w:val="both"/>
        <w:rPr>
          <w:sz w:val="24"/>
          <w:lang w:eastAsia="ja-JP"/>
        </w:rPr>
      </w:pPr>
      <w:r>
        <w:rPr>
          <w:sz w:val="24"/>
          <w:lang w:eastAsia="ja-JP"/>
        </w:rPr>
      </w:r>
    </w:p>
    <w:p>
      <w:pPr>
        <w:pStyle w:val="Normal"/>
        <w:ind w:start="720" w:end="0"/>
        <w:jc w:val="both"/>
        <w:rPr/>
      </w:pPr>
      <w:r>
        <w:rPr>
          <w:sz w:val="24"/>
          <w:lang w:eastAsia="ja-JP"/>
        </w:rPr>
        <w:t>Enron Party: initially Enron Capital Trade Resources Limited (</w:t>
      </w:r>
      <w:r>
        <w:rPr>
          <w:sz w:val="24"/>
          <w:lang w:eastAsia="ja-JP"/>
        </w:rPr>
        <w:t>“</w:t>
      </w:r>
      <w:r>
        <w:rPr>
          <w:sz w:val="24"/>
          <w:lang w:eastAsia="ja-JP"/>
        </w:rPr>
        <w:t>ECT</w:t>
      </w:r>
      <w:r>
        <w:rPr>
          <w:sz w:val="24"/>
          <w:lang w:eastAsia="ja-JP"/>
        </w:rPr>
        <w:t>”</w:t>
      </w:r>
      <w:r>
        <w:rPr>
          <w:sz w:val="24"/>
          <w:lang w:eastAsia="ja-JP"/>
        </w:rPr>
        <w:t>), an English Company, but may be changed in the future to a Japanese entity (</w:t>
      </w:r>
      <w:r>
        <w:rPr>
          <w:sz w:val="24"/>
          <w:lang w:eastAsia="ja-JP"/>
        </w:rPr>
        <w:t>“</w:t>
      </w:r>
      <w:r>
        <w:rPr>
          <w:sz w:val="24"/>
          <w:lang w:eastAsia="ja-JP"/>
        </w:rPr>
        <w:t>EJ</w:t>
      </w:r>
      <w:r>
        <w:rPr>
          <w:sz w:val="24"/>
          <w:lang w:eastAsia="ja-JP"/>
        </w:rPr>
        <w:t>”</w:t>
      </w:r>
      <w:r>
        <w:rPr>
          <w:sz w:val="24"/>
          <w:lang w:eastAsia="ja-JP"/>
        </w:rPr>
        <w:t>).</w:t>
      </w:r>
    </w:p>
    <w:p>
      <w:pPr>
        <w:pStyle w:val="Normal"/>
        <w:jc w:val="both"/>
        <w:rPr>
          <w:sz w:val="24"/>
          <w:lang w:eastAsia="ja-JP"/>
        </w:rPr>
      </w:pPr>
      <w:r>
        <w:rPr>
          <w:sz w:val="24"/>
          <w:lang w:eastAsia="ja-JP"/>
        </w:rPr>
      </w:r>
    </w:p>
    <w:p>
      <w:pPr>
        <w:pStyle w:val="Normal"/>
        <w:ind w:start="720" w:end="0"/>
        <w:jc w:val="both"/>
        <w:rPr>
          <w:sz w:val="24"/>
          <w:lang w:eastAsia="ja-JP"/>
        </w:rPr>
      </w:pPr>
      <w:r>
        <w:rPr>
          <w:sz w:val="24"/>
          <w:lang w:eastAsia="ja-JP"/>
        </w:rPr>
        <w:t>Counterparties: May be Japanese entities or foreign entities with or without a presence in Japan.</w:t>
      </w:r>
    </w:p>
    <w:p>
      <w:pPr>
        <w:pStyle w:val="Normal"/>
        <w:jc w:val="both"/>
        <w:rPr>
          <w:sz w:val="24"/>
          <w:lang w:eastAsia="ja-JP"/>
        </w:rPr>
      </w:pPr>
      <w:r>
        <w:rPr>
          <w:sz w:val="24"/>
          <w:lang w:eastAsia="ja-JP"/>
        </w:rPr>
      </w:r>
    </w:p>
    <w:p>
      <w:pPr>
        <w:pStyle w:val="Normal"/>
        <w:ind w:start="720" w:end="0"/>
        <w:jc w:val="both"/>
        <w:rPr>
          <w:sz w:val="24"/>
          <w:lang w:eastAsia="ja-JP"/>
        </w:rPr>
      </w:pPr>
      <w:r>
        <w:rPr>
          <w:sz w:val="24"/>
          <w:lang w:eastAsia="ja-JP"/>
        </w:rPr>
        <w:t xml:space="preserve">Commodity: </w:t>
      </w:r>
      <w:r>
        <w:rPr>
          <w:sz w:val="24"/>
          <w:lang w:eastAsia="ja-JP"/>
        </w:rPr>
        <w:t>aluminum</w:t>
      </w:r>
    </w:p>
    <w:p>
      <w:pPr>
        <w:pStyle w:val="Normal"/>
        <w:jc w:val="both"/>
        <w:rPr>
          <w:sz w:val="24"/>
          <w:lang w:eastAsia="ja-JP"/>
        </w:rPr>
      </w:pPr>
      <w:r>
        <w:rPr>
          <w:sz w:val="24"/>
          <w:lang w:eastAsia="ja-JP"/>
        </w:rPr>
      </w:r>
    </w:p>
    <w:p>
      <w:pPr>
        <w:pStyle w:val="Normal"/>
        <w:ind w:start="720" w:end="0"/>
        <w:jc w:val="both"/>
        <w:rPr>
          <w:sz w:val="24"/>
          <w:lang w:eastAsia="ja-JP"/>
        </w:rPr>
      </w:pPr>
      <w:r>
        <w:rPr>
          <w:sz w:val="24"/>
          <w:lang w:eastAsia="ja-JP"/>
        </w:rPr>
        <w:t xml:space="preserve">Delivery: physical, but could in the future be changed to cash settlement. </w:t>
      </w:r>
    </w:p>
    <w:p>
      <w:pPr>
        <w:pStyle w:val="Normal"/>
        <w:jc w:val="both"/>
        <w:rPr>
          <w:sz w:val="24"/>
          <w:lang w:eastAsia="ja-JP"/>
        </w:rPr>
      </w:pPr>
      <w:r>
        <w:rPr>
          <w:sz w:val="24"/>
          <w:lang w:eastAsia="ja-JP"/>
        </w:rPr>
      </w:r>
    </w:p>
    <w:p>
      <w:pPr>
        <w:pStyle w:val="Normal"/>
        <w:ind w:start="720" w:end="0"/>
        <w:jc w:val="both"/>
        <w:rPr>
          <w:sz w:val="24"/>
          <w:lang w:eastAsia="ja-JP"/>
        </w:rPr>
      </w:pPr>
      <w:r>
        <w:rPr>
          <w:sz w:val="24"/>
          <w:lang w:eastAsia="ja-JP"/>
        </w:rPr>
        <w:t>Vehicle: EOL</w:t>
      </w:r>
    </w:p>
    <w:p>
      <w:pPr>
        <w:pStyle w:val="Normal"/>
        <w:jc w:val="both"/>
        <w:rPr>
          <w:sz w:val="24"/>
          <w:lang w:eastAsia="ja-JP"/>
        </w:rPr>
      </w:pPr>
      <w:r>
        <w:rPr>
          <w:sz w:val="24"/>
          <w:lang w:eastAsia="ja-JP"/>
        </w:rPr>
      </w:r>
    </w:p>
    <w:p>
      <w:pPr>
        <w:pStyle w:val="Normal"/>
        <w:jc w:val="both"/>
        <w:rPr>
          <w:b/>
          <w:sz w:val="24"/>
          <w:lang w:eastAsia="ja-JP"/>
        </w:rPr>
      </w:pPr>
      <w:r>
        <w:rPr>
          <w:b/>
          <w:sz w:val="24"/>
          <w:lang w:eastAsia="ja-JP"/>
        </w:rPr>
        <w:t>Approach</w:t>
      </w:r>
    </w:p>
    <w:p>
      <w:pPr>
        <w:pStyle w:val="Normal"/>
        <w:jc w:val="both"/>
        <w:rPr>
          <w:b/>
          <w:sz w:val="24"/>
          <w:lang w:eastAsia="ja-JP"/>
        </w:rPr>
      </w:pPr>
      <w:r>
        <w:rPr>
          <w:b/>
          <w:sz w:val="24"/>
          <w:lang w:eastAsia="ja-JP"/>
        </w:rPr>
      </w:r>
    </w:p>
    <w:p>
      <w:pPr>
        <w:pStyle w:val="WPW"/>
        <w:widowControl/>
        <w:rPr>
          <w:lang w:eastAsia="ja-JP"/>
        </w:rPr>
      </w:pPr>
      <w:r>
        <w:rPr>
          <w:lang w:eastAsia="ja-JP"/>
        </w:rPr>
        <w:t>Please refer to our previous advice, in particular our January 14, 2000 advice on Trading in Japan and Other Merchant Activities, which sets out the relevant regulatory framework.</w:t>
      </w:r>
    </w:p>
    <w:p>
      <w:pPr>
        <w:pStyle w:val="Normal"/>
        <w:jc w:val="both"/>
        <w:rPr>
          <w:sz w:val="24"/>
          <w:lang w:eastAsia="ja-JP"/>
        </w:rPr>
      </w:pPr>
      <w:r>
        <w:rPr>
          <w:sz w:val="24"/>
          <w:lang w:eastAsia="ja-JP"/>
        </w:rPr>
      </w:r>
    </w:p>
    <w:p>
      <w:pPr>
        <w:pStyle w:val="Normal"/>
        <w:jc w:val="both"/>
        <w:rPr/>
      </w:pPr>
      <w:r>
        <w:rPr>
          <w:sz w:val="24"/>
          <w:lang w:eastAsia="ja-JP"/>
        </w:rPr>
        <w:t xml:space="preserve">Our advice on questions 2 and 3 below largely apply the law as set out in that advice to </w:t>
      </w:r>
      <w:r>
        <w:rPr>
          <w:sz w:val="24"/>
          <w:lang w:eastAsia="ja-JP"/>
        </w:rPr>
        <w:t>the</w:t>
      </w:r>
      <w:r>
        <w:rPr>
          <w:sz w:val="24"/>
          <w:lang w:eastAsia="ja-JP"/>
        </w:rPr>
        <w:t xml:space="preserve"> proposed business.</w:t>
      </w:r>
    </w:p>
    <w:p>
      <w:pPr>
        <w:pStyle w:val="Normal"/>
        <w:jc w:val="both"/>
        <w:rPr>
          <w:sz w:val="24"/>
          <w:lang w:eastAsia="ja-JP"/>
        </w:rPr>
      </w:pPr>
      <w:r>
        <w:rPr>
          <w:sz w:val="24"/>
          <w:lang w:eastAsia="ja-JP"/>
        </w:rPr>
      </w:r>
    </w:p>
    <w:p>
      <w:pPr>
        <w:pStyle w:val="Normal"/>
        <w:jc w:val="both"/>
        <w:rPr>
          <w:sz w:val="24"/>
          <w:lang w:eastAsia="ja-JP"/>
        </w:rPr>
      </w:pPr>
      <w:r>
        <w:rPr>
          <w:sz w:val="24"/>
          <w:lang w:eastAsia="ja-JP"/>
        </w:rPr>
        <w:t>We address your 3 questions in the order they were asked.</w:t>
      </w:r>
    </w:p>
    <w:p>
      <w:pPr>
        <w:pStyle w:val="Normal"/>
        <w:jc w:val="both"/>
        <w:rPr>
          <w:sz w:val="24"/>
          <w:lang w:eastAsia="ja-JP"/>
        </w:rPr>
      </w:pPr>
      <w:r>
        <w:rPr>
          <w:sz w:val="24"/>
          <w:lang w:eastAsia="ja-JP"/>
        </w:rPr>
      </w:r>
    </w:p>
    <w:p>
      <w:pPr>
        <w:pStyle w:val="Normal"/>
        <w:numPr>
          <w:ilvl w:val="0"/>
          <w:numId w:val="7"/>
        </w:numPr>
        <w:jc w:val="both"/>
        <w:rPr>
          <w:b/>
          <w:sz w:val="24"/>
          <w:lang w:eastAsia="ja-JP"/>
        </w:rPr>
      </w:pPr>
      <w:r>
        <w:rPr>
          <w:b/>
          <w:sz w:val="24"/>
          <w:lang w:eastAsia="ja-JP"/>
        </w:rPr>
        <w:t>GTC</w:t>
      </w:r>
    </w:p>
    <w:p>
      <w:pPr>
        <w:pStyle w:val="Normal"/>
        <w:jc w:val="both"/>
        <w:rPr>
          <w:b/>
          <w:sz w:val="24"/>
          <w:lang w:eastAsia="ja-JP"/>
        </w:rPr>
      </w:pPr>
      <w:r>
        <w:rPr>
          <w:b/>
          <w:sz w:val="24"/>
          <w:lang w:eastAsia="ja-JP"/>
        </w:rPr>
      </w:r>
    </w:p>
    <w:p>
      <w:pPr>
        <w:pStyle w:val="Normal"/>
        <w:jc w:val="both"/>
        <w:rPr>
          <w:sz w:val="24"/>
          <w:u w:val="single"/>
          <w:lang w:eastAsia="ja-JP"/>
        </w:rPr>
      </w:pPr>
      <w:r>
        <w:rPr>
          <w:sz w:val="24"/>
          <w:u w:val="single"/>
          <w:lang w:eastAsia="ja-JP"/>
        </w:rPr>
        <w:t xml:space="preserve">General Comment </w:t>
      </w:r>
    </w:p>
    <w:p>
      <w:pPr>
        <w:pStyle w:val="Normal"/>
        <w:jc w:val="both"/>
        <w:rPr>
          <w:sz w:val="24"/>
          <w:u w:val="single"/>
          <w:lang w:eastAsia="ja-JP"/>
        </w:rPr>
      </w:pPr>
      <w:r>
        <w:rPr>
          <w:sz w:val="24"/>
          <w:u w:val="single"/>
          <w:lang w:eastAsia="ja-JP"/>
        </w:rPr>
      </w:r>
    </w:p>
    <w:p>
      <w:pPr>
        <w:pStyle w:val="WPW"/>
        <w:widowControl/>
        <w:rPr>
          <w:lang w:eastAsia="ja-JP"/>
        </w:rPr>
      </w:pPr>
      <w:r>
        <w:rPr>
          <w:lang w:eastAsia="ja-JP"/>
        </w:rPr>
        <w:t>Two threshold comments:</w:t>
      </w:r>
    </w:p>
    <w:p>
      <w:pPr>
        <w:pStyle w:val="WPW"/>
        <w:widowControl/>
        <w:rPr>
          <w:lang w:eastAsia="ja-JP"/>
        </w:rPr>
      </w:pPr>
      <w:r>
        <w:rPr>
          <w:lang w:eastAsia="ja-JP"/>
        </w:rPr>
      </w:r>
    </w:p>
    <w:p>
      <w:pPr>
        <w:pStyle w:val="WPW"/>
        <w:widowControl/>
        <w:numPr>
          <w:ilvl w:val="0"/>
          <w:numId w:val="6"/>
        </w:numPr>
        <w:tabs>
          <w:tab w:val="clear" w:pos="720"/>
          <w:tab w:val="left" w:pos="700" w:leader="none"/>
        </w:tabs>
        <w:ind w:hanging="700" w:start="700" w:end="0"/>
        <w:rPr>
          <w:b/>
          <w:lang w:eastAsia="ja-JP"/>
        </w:rPr>
      </w:pPr>
      <w:r>
        <w:rPr>
          <w:lang w:eastAsia="ja-JP"/>
        </w:rPr>
        <w:t xml:space="preserve">Since the focus of our advice is on ECT as the Enron party rather than EJ, it would be unnecessary and inappropriate for us to </w:t>
      </w:r>
      <w:r>
        <w:rPr>
          <w:lang w:eastAsia="ja-JP"/>
        </w:rPr>
        <w:t>“</w:t>
      </w:r>
      <w:r>
        <w:rPr>
          <w:lang w:eastAsia="ja-JP"/>
        </w:rPr>
        <w:t>Japanize</w:t>
      </w:r>
      <w:r>
        <w:rPr>
          <w:lang w:eastAsia="ja-JP"/>
        </w:rPr>
        <w:t>”</w:t>
      </w:r>
      <w:r>
        <w:rPr>
          <w:lang w:eastAsia="ja-JP"/>
        </w:rPr>
        <w:t xml:space="preserve"> the terms as much as we did the EPSA.</w:t>
      </w:r>
    </w:p>
    <w:p>
      <w:pPr>
        <w:pStyle w:val="WPW"/>
        <w:widowControl/>
        <w:rPr>
          <w:b/>
          <w:lang w:eastAsia="ja-JP"/>
        </w:rPr>
      </w:pPr>
      <w:r>
        <w:rPr>
          <w:rFonts w:eastAsia="Times New Roman"/>
          <w:lang w:eastAsia="ja-JP"/>
        </w:rPr>
        <w:t xml:space="preserve"> </w:t>
      </w:r>
    </w:p>
    <w:p>
      <w:pPr>
        <w:pStyle w:val="WPW"/>
        <w:widowControl/>
        <w:numPr>
          <w:ilvl w:val="0"/>
          <w:numId w:val="6"/>
        </w:numPr>
        <w:tabs>
          <w:tab w:val="clear" w:pos="720"/>
          <w:tab w:val="left" w:pos="700" w:leader="none"/>
        </w:tabs>
        <w:ind w:hanging="700" w:start="700" w:end="0"/>
        <w:rPr>
          <w:b/>
          <w:lang w:eastAsia="ja-JP"/>
        </w:rPr>
      </w:pPr>
      <w:r>
        <w:rPr>
          <w:lang w:eastAsia="ja-JP"/>
        </w:rPr>
        <w:t xml:space="preserve">Since the counter-party may be a foreign company rather than a Japanese company, we are not sure how far we should go in </w:t>
      </w:r>
      <w:r>
        <w:rPr>
          <w:lang w:eastAsia="ja-JP"/>
        </w:rPr>
        <w:t>“</w:t>
      </w:r>
      <w:r>
        <w:rPr>
          <w:lang w:eastAsia="ja-JP"/>
        </w:rPr>
        <w:t>Japanizing</w:t>
      </w:r>
      <w:r>
        <w:rPr>
          <w:lang w:eastAsia="ja-JP"/>
        </w:rPr>
        <w:t>”</w:t>
      </w:r>
      <w:r>
        <w:rPr>
          <w:lang w:eastAsia="ja-JP"/>
        </w:rPr>
        <w:t xml:space="preserve"> the counter-party provisions, in particular, insolvency etc events.</w:t>
      </w:r>
    </w:p>
    <w:p>
      <w:pPr>
        <w:pStyle w:val="Normal"/>
        <w:jc w:val="both"/>
        <w:rPr>
          <w:b/>
          <w:sz w:val="24"/>
          <w:u w:val="single"/>
          <w:lang w:eastAsia="ja-JP"/>
        </w:rPr>
      </w:pPr>
      <w:r>
        <w:rPr>
          <w:b/>
          <w:sz w:val="24"/>
          <w:u w:val="single"/>
          <w:lang w:eastAsia="ja-JP"/>
        </w:rPr>
      </w:r>
    </w:p>
    <w:p>
      <w:pPr>
        <w:pStyle w:val="WPW"/>
        <w:widowControl/>
        <w:rPr/>
      </w:pPr>
      <w:r>
        <w:rPr>
          <w:lang w:eastAsia="ja-JP"/>
        </w:rPr>
        <w:t xml:space="preserve">Japanese law respects </w:t>
      </w:r>
      <w:r>
        <w:rPr>
          <w:lang w:eastAsia="ja-JP"/>
        </w:rPr>
        <w:t>“</w:t>
      </w:r>
      <w:r>
        <w:rPr>
          <w:lang w:eastAsia="ja-JP"/>
        </w:rPr>
        <w:t>freedom of choice of law</w:t>
      </w:r>
      <w:r>
        <w:rPr>
          <w:lang w:eastAsia="ja-JP"/>
        </w:rPr>
        <w:t>”</w:t>
      </w:r>
      <w:r>
        <w:rPr>
          <w:lang w:eastAsia="ja-JP"/>
        </w:rPr>
        <w:t xml:space="preserve"> under a contract.  Therefore,</w:t>
      </w:r>
      <w:r>
        <w:rPr>
          <w:lang w:eastAsia="ja-JP"/>
        </w:rPr>
        <w:t xml:space="preserve"> the choice of English law will be respected, even if the counter-party is a Japanese company and delivery is to be made in Japan, subject, however, to any</w:t>
      </w:r>
      <w:r>
        <w:rPr>
          <w:lang w:eastAsia="ja-JP"/>
        </w:rPr>
        <w:t xml:space="preserve"> Japanese mandatory laws, and there being no breach of public policy or good morals of Japan.</w:t>
      </w:r>
    </w:p>
    <w:p>
      <w:pPr>
        <w:pStyle w:val="WPW"/>
        <w:widowControl/>
        <w:rPr>
          <w:rFonts w:eastAsia="Times New Roman"/>
          <w:lang w:eastAsia="ja-JP"/>
        </w:rPr>
      </w:pPr>
      <w:r>
        <w:rPr>
          <w:rFonts w:eastAsia="Times New Roman"/>
          <w:lang w:eastAsia="ja-JP"/>
        </w:rPr>
        <w:t xml:space="preserve"> </w:t>
      </w:r>
    </w:p>
    <w:p>
      <w:pPr>
        <w:pStyle w:val="WPW"/>
        <w:widowControl/>
        <w:rPr>
          <w:lang w:eastAsia="ja-JP"/>
        </w:rPr>
      </w:pPr>
      <w:r>
        <w:rPr>
          <w:lang w:eastAsia="ja-JP"/>
        </w:rPr>
        <w:t>The comments set out in our advice of April 5, 2000 on the EPSA provisions concerning:</w:t>
      </w:r>
    </w:p>
    <w:p>
      <w:pPr>
        <w:pStyle w:val="WPW"/>
        <w:widowControl/>
        <w:rPr>
          <w:lang w:eastAsia="ja-JP"/>
        </w:rPr>
      </w:pPr>
      <w:r>
        <w:rPr>
          <w:lang w:eastAsia="ja-JP"/>
        </w:rPr>
      </w:r>
    </w:p>
    <w:p>
      <w:pPr>
        <w:pStyle w:val="WPW"/>
        <w:widowControl/>
        <w:ind w:start="720" w:end="0"/>
        <w:rPr>
          <w:b/>
          <w:lang w:eastAsia="ja-JP"/>
        </w:rPr>
      </w:pPr>
      <w:r>
        <w:rPr>
          <w:lang w:eastAsia="ja-JP"/>
        </w:rPr>
        <w:t>Damages/limitations of liability</w:t>
      </w:r>
    </w:p>
    <w:p>
      <w:pPr>
        <w:pStyle w:val="WPW"/>
        <w:widowControl/>
        <w:ind w:start="720" w:end="0"/>
        <w:rPr>
          <w:b/>
          <w:lang w:eastAsia="ja-JP"/>
        </w:rPr>
      </w:pPr>
      <w:r>
        <w:rPr>
          <w:lang w:eastAsia="ja-JP"/>
        </w:rPr>
        <w:t>Deduction/withholding</w:t>
      </w:r>
    </w:p>
    <w:p>
      <w:pPr>
        <w:pStyle w:val="WPW"/>
        <w:widowControl/>
        <w:ind w:start="720" w:end="0"/>
        <w:rPr>
          <w:b/>
          <w:lang w:eastAsia="ja-JP"/>
        </w:rPr>
      </w:pPr>
      <w:r>
        <w:rPr>
          <w:lang w:eastAsia="ja-JP"/>
        </w:rPr>
        <w:t>Right to suspend performance and terminate</w:t>
      </w:r>
    </w:p>
    <w:p>
      <w:pPr>
        <w:pStyle w:val="WPW"/>
        <w:widowControl/>
        <w:ind w:start="720" w:end="0"/>
        <w:rPr>
          <w:b/>
          <w:lang w:eastAsia="ja-JP"/>
        </w:rPr>
      </w:pPr>
      <w:r>
        <w:rPr>
          <w:lang w:eastAsia="ja-JP"/>
        </w:rPr>
        <w:t>Grounds for termination</w:t>
      </w:r>
    </w:p>
    <w:p>
      <w:pPr>
        <w:pStyle w:val="WPW"/>
        <w:widowControl/>
        <w:ind w:start="720" w:end="0"/>
        <w:rPr>
          <w:b/>
          <w:lang w:eastAsia="ja-JP"/>
        </w:rPr>
      </w:pPr>
      <w:r>
        <w:rPr>
          <w:lang w:eastAsia="ja-JP"/>
        </w:rPr>
        <w:t>Duty to mitigate damages</w:t>
      </w:r>
    </w:p>
    <w:p>
      <w:pPr>
        <w:pStyle w:val="WPW"/>
        <w:widowControl/>
        <w:ind w:start="720" w:end="0"/>
        <w:rPr>
          <w:b/>
          <w:lang w:eastAsia="ja-JP"/>
        </w:rPr>
      </w:pPr>
      <w:r>
        <w:rPr>
          <w:lang w:eastAsia="ja-JP"/>
        </w:rPr>
        <w:t>Severability</w:t>
      </w:r>
    </w:p>
    <w:p>
      <w:pPr>
        <w:pStyle w:val="WPW"/>
        <w:widowControl/>
        <w:ind w:start="720" w:end="0"/>
        <w:rPr>
          <w:b/>
          <w:lang w:eastAsia="ja-JP"/>
        </w:rPr>
      </w:pPr>
      <w:r>
        <w:rPr>
          <w:lang w:eastAsia="ja-JP"/>
        </w:rPr>
        <w:t>Assignment</w:t>
      </w:r>
    </w:p>
    <w:p>
      <w:pPr>
        <w:pStyle w:val="WPW"/>
        <w:widowControl/>
        <w:ind w:start="720" w:end="0"/>
        <w:rPr>
          <w:b/>
          <w:lang w:eastAsia="ja-JP"/>
        </w:rPr>
      </w:pPr>
      <w:r>
        <w:rPr>
          <w:lang w:eastAsia="ja-JP"/>
        </w:rPr>
        <w:t>Change of circumstances</w:t>
      </w:r>
    </w:p>
    <w:p>
      <w:pPr>
        <w:pStyle w:val="WPW"/>
        <w:widowControl/>
        <w:ind w:start="720" w:end="0"/>
        <w:rPr>
          <w:b/>
          <w:lang w:eastAsia="ja-JP"/>
        </w:rPr>
      </w:pPr>
      <w:r>
        <w:rPr>
          <w:lang w:eastAsia="ja-JP"/>
        </w:rPr>
        <w:t>Waiver,</w:t>
      </w:r>
    </w:p>
    <w:p>
      <w:pPr>
        <w:pStyle w:val="WPW"/>
        <w:widowControl/>
        <w:rPr>
          <w:b/>
          <w:lang w:eastAsia="ja-JP"/>
        </w:rPr>
      </w:pPr>
      <w:r>
        <w:rPr>
          <w:b/>
          <w:lang w:eastAsia="ja-JP"/>
        </w:rPr>
      </w:r>
    </w:p>
    <w:p>
      <w:pPr>
        <w:pStyle w:val="WPW"/>
        <w:widowControl/>
        <w:rPr/>
      </w:pPr>
      <w:r>
        <w:rPr>
          <w:lang w:eastAsia="ja-JP"/>
        </w:rPr>
        <w:t xml:space="preserve">are generally applicable also to </w:t>
      </w:r>
      <w:r>
        <w:rPr>
          <w:lang w:eastAsia="ja-JP"/>
        </w:rPr>
        <w:t>the</w:t>
      </w:r>
      <w:r>
        <w:rPr>
          <w:lang w:eastAsia="ja-JP"/>
        </w:rPr>
        <w:t xml:space="preserve"> present contract.  In other words, these provisions generally will be enforceable.  </w:t>
      </w:r>
    </w:p>
    <w:p>
      <w:pPr>
        <w:pStyle w:val="WPW"/>
        <w:widowControl/>
        <w:rPr>
          <w:lang w:eastAsia="ja-JP"/>
        </w:rPr>
      </w:pPr>
      <w:r>
        <w:rPr>
          <w:lang w:eastAsia="ja-JP"/>
        </w:rPr>
      </w:r>
    </w:p>
    <w:p>
      <w:pPr>
        <w:pStyle w:val="WPW"/>
        <w:widowControl/>
        <w:rPr>
          <w:lang w:eastAsia="ja-JP"/>
        </w:rPr>
      </w:pPr>
      <w:r>
        <w:rPr>
          <w:lang w:eastAsia="ja-JP"/>
        </w:rPr>
        <w:t>We set out below some additional comments.  Some of them relate to the issues raised in our answers to questions under 2 and 3 below, and some address wording issues which, although not peculiar to Japan, may deserve clarification.</w:t>
      </w:r>
    </w:p>
    <w:p>
      <w:pPr>
        <w:pStyle w:val="WPW"/>
        <w:widowControl/>
        <w:rPr>
          <w:lang w:eastAsia="ja-JP"/>
        </w:rPr>
      </w:pPr>
      <w:r>
        <w:rPr>
          <w:lang w:eastAsia="ja-JP"/>
        </w:rPr>
      </w:r>
    </w:p>
    <w:p>
      <w:pPr>
        <w:pStyle w:val="WPW"/>
        <w:widowControl/>
        <w:rPr>
          <w:u w:val="single"/>
          <w:lang w:eastAsia="ja-JP"/>
        </w:rPr>
      </w:pPr>
      <w:r>
        <w:rPr>
          <w:u w:val="single"/>
          <w:lang w:eastAsia="ja-JP"/>
        </w:rPr>
        <w:t>Clause 1.2  Transaction</w:t>
      </w:r>
    </w:p>
    <w:p>
      <w:pPr>
        <w:pStyle w:val="WPW"/>
        <w:widowControl/>
        <w:rPr>
          <w:b/>
          <w:u w:val="single"/>
          <w:lang w:eastAsia="ja-JP"/>
        </w:rPr>
      </w:pPr>
      <w:r>
        <w:rPr>
          <w:b/>
          <w:u w:val="single"/>
          <w:lang w:eastAsia="ja-JP"/>
        </w:rPr>
      </w:r>
    </w:p>
    <w:p>
      <w:pPr>
        <w:pStyle w:val="WPW"/>
        <w:widowControl/>
        <w:rPr/>
      </w:pPr>
      <w:r>
        <w:rPr>
          <w:lang w:eastAsia="ja-JP"/>
        </w:rPr>
        <w:t xml:space="preserve">We are not sure what the relevance of the words </w:t>
      </w:r>
      <w:r>
        <w:rPr>
          <w:lang w:eastAsia="ja-JP"/>
        </w:rPr>
        <w:t>“</w:t>
      </w:r>
      <w:r>
        <w:rPr>
          <w:lang w:eastAsia="ja-JP"/>
        </w:rPr>
        <w:t>except that any reference to arbitration shall be binding on both parties</w:t>
      </w:r>
      <w:r>
        <w:rPr>
          <w:lang w:eastAsia="ja-JP"/>
        </w:rPr>
        <w:t>”</w:t>
      </w:r>
      <w:r>
        <w:rPr>
          <w:lang w:eastAsia="ja-JP"/>
        </w:rPr>
        <w:t xml:space="preserve"> is in line 7.</w:t>
      </w:r>
    </w:p>
    <w:p>
      <w:pPr>
        <w:pStyle w:val="WPW"/>
        <w:widowControl/>
        <w:rPr>
          <w:lang w:eastAsia="ja-JP"/>
        </w:rPr>
      </w:pPr>
      <w:r>
        <w:rPr>
          <w:lang w:eastAsia="ja-JP"/>
        </w:rPr>
      </w:r>
    </w:p>
    <w:p>
      <w:pPr>
        <w:pStyle w:val="WPW"/>
        <w:widowControl/>
        <w:rPr>
          <w:u w:val="single"/>
          <w:lang w:eastAsia="ja-JP"/>
        </w:rPr>
      </w:pPr>
      <w:r>
        <w:rPr>
          <w:u w:val="single"/>
          <w:lang w:eastAsia="ja-JP"/>
        </w:rPr>
        <w:t>Clause 3.1  Delivery</w:t>
      </w:r>
    </w:p>
    <w:p>
      <w:pPr>
        <w:pStyle w:val="WPW"/>
        <w:widowControl/>
        <w:rPr>
          <w:b/>
          <w:u w:val="single"/>
          <w:lang w:eastAsia="ja-JP"/>
        </w:rPr>
      </w:pPr>
      <w:r>
        <w:rPr>
          <w:b/>
          <w:u w:val="single"/>
          <w:lang w:eastAsia="ja-JP"/>
        </w:rPr>
      </w:r>
    </w:p>
    <w:p>
      <w:pPr>
        <w:pStyle w:val="WPW"/>
        <w:widowControl/>
        <w:rPr>
          <w:lang w:eastAsia="ja-JP"/>
        </w:rPr>
      </w:pPr>
      <w:r>
        <w:rPr>
          <w:lang w:eastAsia="ja-JP"/>
        </w:rPr>
        <w:t>Because of the vital significance of this (see our advice on question 2 below), we wonder whether the second sentence should be changed to:</w:t>
      </w:r>
    </w:p>
    <w:p>
      <w:pPr>
        <w:pStyle w:val="WPW"/>
        <w:widowControl/>
        <w:rPr>
          <w:lang w:eastAsia="ja-JP"/>
        </w:rPr>
      </w:pPr>
      <w:r>
        <w:rPr>
          <w:lang w:eastAsia="ja-JP"/>
        </w:rPr>
      </w:r>
    </w:p>
    <w:p>
      <w:pPr>
        <w:pStyle w:val="WPW"/>
        <w:widowControl/>
        <w:ind w:start="720" w:end="0"/>
        <w:rPr>
          <w:lang w:eastAsia="ja-JP"/>
        </w:rPr>
      </w:pPr>
      <w:r>
        <w:rPr>
          <w:lang w:eastAsia="ja-JP"/>
        </w:rPr>
        <w:t>“</w:t>
      </w:r>
      <w:r>
        <w:rPr>
          <w:lang w:eastAsia="ja-JP"/>
        </w:rPr>
        <w:t xml:space="preserve">The meaning of the </w:t>
      </w:r>
      <w:r>
        <w:rPr>
          <w:lang w:eastAsia="ja-JP"/>
        </w:rPr>
        <w:t>“</w:t>
      </w:r>
      <w:r>
        <w:rPr>
          <w:lang w:eastAsia="ja-JP"/>
        </w:rPr>
        <w:t>Delivery Point</w:t>
      </w:r>
      <w:r>
        <w:rPr>
          <w:lang w:eastAsia="ja-JP"/>
        </w:rPr>
        <w:t>”</w:t>
      </w:r>
      <w:r>
        <w:rPr>
          <w:lang w:eastAsia="ja-JP"/>
        </w:rPr>
        <w:t xml:space="preserve"> and the obligations assumed by the parties with respect to delivery at that Delivery Point are set out in the Schedule to this GTC.</w:t>
      </w:r>
      <w:r>
        <w:rPr>
          <w:lang w:eastAsia="ja-JP"/>
        </w:rPr>
        <w:t>”</w:t>
      </w:r>
    </w:p>
    <w:p>
      <w:pPr>
        <w:pStyle w:val="WPW"/>
        <w:widowControl/>
        <w:rPr>
          <w:lang w:eastAsia="ja-JP"/>
        </w:rPr>
      </w:pPr>
      <w:r>
        <w:rPr>
          <w:lang w:eastAsia="ja-JP"/>
        </w:rPr>
      </w:r>
    </w:p>
    <w:p>
      <w:pPr>
        <w:pStyle w:val="WPW"/>
        <w:widowControl/>
        <w:rPr>
          <w:u w:val="single"/>
          <w:lang w:eastAsia="ja-JP"/>
        </w:rPr>
      </w:pPr>
      <w:r>
        <w:rPr>
          <w:u w:val="single"/>
          <w:lang w:eastAsia="ja-JP"/>
        </w:rPr>
        <w:t xml:space="preserve">Clause 3.3  Set-offs </w:t>
      </w:r>
    </w:p>
    <w:p>
      <w:pPr>
        <w:pStyle w:val="WPW"/>
        <w:widowControl/>
        <w:rPr>
          <w:b/>
          <w:u w:val="single"/>
          <w:lang w:eastAsia="ja-JP"/>
        </w:rPr>
      </w:pPr>
      <w:r>
        <w:rPr>
          <w:b/>
          <w:u w:val="single"/>
          <w:lang w:eastAsia="ja-JP"/>
        </w:rPr>
      </w:r>
    </w:p>
    <w:p>
      <w:pPr>
        <w:pStyle w:val="WPW"/>
        <w:widowControl/>
        <w:rPr/>
      </w:pPr>
      <w:r>
        <w:rPr>
          <w:lang w:eastAsia="ja-JP"/>
        </w:rPr>
        <w:t xml:space="preserve">While it is possible in Japan for parties to a contract to agree to set off, it is not possible for them to agree to set off with respect to third parties.  In this respect, the offset will only be possible with respect to an affiliate (as contemplated in the reference to </w:t>
      </w:r>
      <w:r>
        <w:rPr>
          <w:lang w:eastAsia="ja-JP"/>
        </w:rPr>
        <w:t>“</w:t>
      </w:r>
      <w:r>
        <w:rPr>
          <w:lang w:eastAsia="ja-JP"/>
        </w:rPr>
        <w:t>ECT or one of its affiliates</w:t>
      </w:r>
      <w:r>
        <w:rPr>
          <w:lang w:eastAsia="ja-JP"/>
        </w:rPr>
        <w:t>”</w:t>
      </w:r>
      <w:r>
        <w:rPr>
          <w:lang w:eastAsia="ja-JP"/>
        </w:rPr>
        <w:t xml:space="preserve"> in Clause 1.1), so long as the affiliate concerned is in fact the party to </w:t>
      </w:r>
      <w:r>
        <w:rPr>
          <w:lang w:eastAsia="ja-JP"/>
        </w:rPr>
        <w:t>the</w:t>
      </w:r>
      <w:r>
        <w:rPr>
          <w:lang w:eastAsia="ja-JP"/>
        </w:rPr>
        <w:t xml:space="preserve"> transaction on the website or has agreed to the set-off.  We are not sure if this is the intention of Clause 1.1.</w:t>
      </w:r>
    </w:p>
    <w:p>
      <w:pPr>
        <w:pStyle w:val="WPW"/>
        <w:widowControl/>
        <w:rPr>
          <w:lang w:eastAsia="ja-JP"/>
        </w:rPr>
      </w:pPr>
      <w:r>
        <w:rPr>
          <w:lang w:eastAsia="ja-JP"/>
        </w:rPr>
      </w:r>
    </w:p>
    <w:p>
      <w:pPr>
        <w:pStyle w:val="WPW"/>
        <w:widowControl/>
        <w:rPr>
          <w:u w:val="single"/>
          <w:lang w:eastAsia="ja-JP"/>
        </w:rPr>
      </w:pPr>
      <w:r>
        <w:rPr>
          <w:u w:val="single"/>
          <w:lang w:eastAsia="ja-JP"/>
        </w:rPr>
        <w:t>Clause 4.3  Representations</w:t>
      </w:r>
    </w:p>
    <w:p>
      <w:pPr>
        <w:pStyle w:val="WPW"/>
        <w:widowControl/>
        <w:rPr>
          <w:b/>
          <w:u w:val="single"/>
          <w:lang w:eastAsia="ja-JP"/>
        </w:rPr>
      </w:pPr>
      <w:r>
        <w:rPr>
          <w:b/>
          <w:u w:val="single"/>
          <w:lang w:eastAsia="ja-JP"/>
        </w:rPr>
      </w:r>
    </w:p>
    <w:p>
      <w:pPr>
        <w:pStyle w:val="WPW"/>
        <w:widowControl/>
        <w:rPr/>
      </w:pPr>
      <w:r>
        <w:rPr>
          <w:lang w:eastAsia="ja-JP"/>
        </w:rPr>
        <w:t xml:space="preserve">Note for completeness only that when derivatives are to be traded, along the lines </w:t>
      </w:r>
      <w:r>
        <w:rPr>
          <w:lang w:eastAsia="ja-JP"/>
        </w:rPr>
        <w:t>of</w:t>
      </w:r>
      <w:r>
        <w:rPr>
          <w:lang w:eastAsia="ja-JP"/>
        </w:rPr>
        <w:t xml:space="preserve"> our previous advice representations and statements to the following effect will need to be included.</w:t>
      </w:r>
    </w:p>
    <w:p>
      <w:pPr>
        <w:pStyle w:val="WPW"/>
        <w:widowControl/>
        <w:rPr>
          <w:lang w:eastAsia="ja-JP"/>
        </w:rPr>
      </w:pPr>
      <w:r>
        <w:rPr>
          <w:lang w:eastAsia="ja-JP"/>
        </w:rPr>
      </w:r>
    </w:p>
    <w:p>
      <w:pPr>
        <w:pStyle w:val="WPW"/>
        <w:widowControl/>
        <w:rPr/>
      </w:pPr>
      <w:r>
        <w:rPr>
          <w:lang w:eastAsia="ja-JP"/>
        </w:rPr>
        <w:t>“</w:t>
      </w:r>
      <w:r>
        <w:rPr>
          <w:lang w:eastAsia="ja-JP"/>
        </w:rPr>
        <w:t>The Counterparty represents and warrants to Enron that:</w:t>
      </w:r>
    </w:p>
    <w:p>
      <w:pPr>
        <w:pStyle w:val="WPW"/>
        <w:widowControl/>
        <w:rPr>
          <w:lang w:eastAsia="ja-JP"/>
        </w:rPr>
      </w:pPr>
      <w:r>
        <w:rPr>
          <w:lang w:eastAsia="ja-JP"/>
        </w:rPr>
      </w:r>
    </w:p>
    <w:p>
      <w:pPr>
        <w:pStyle w:val="WPW"/>
        <w:widowControl/>
        <w:numPr>
          <w:ilvl w:val="0"/>
          <w:numId w:val="5"/>
        </w:numPr>
        <w:rPr>
          <w:lang w:eastAsia="ja-JP"/>
        </w:rPr>
      </w:pPr>
      <w:r>
        <w:rPr>
          <w:lang w:eastAsia="ja-JP"/>
        </w:rPr>
        <w:t>It has read and fully understands the terms of the proposed transaction;</w:t>
      </w:r>
    </w:p>
    <w:p>
      <w:pPr>
        <w:pStyle w:val="WPW"/>
        <w:widowControl/>
        <w:numPr>
          <w:ilvl w:val="0"/>
          <w:numId w:val="5"/>
        </w:numPr>
        <w:rPr>
          <w:lang w:eastAsia="ja-JP"/>
        </w:rPr>
      </w:pPr>
      <w:r>
        <w:rPr>
          <w:lang w:eastAsia="ja-JP"/>
        </w:rPr>
        <w:t xml:space="preserve">It is entering into this transaction to hedge risks arising during the </w:t>
      </w:r>
      <w:r>
        <w:rPr>
          <w:lang w:eastAsia="ja-JP"/>
        </w:rPr>
        <w:t>ordinary</w:t>
      </w:r>
      <w:r>
        <w:rPr>
          <w:lang w:eastAsia="ja-JP"/>
        </w:rPr>
        <w:t xml:space="preserve"> course of business; and</w:t>
      </w:r>
    </w:p>
    <w:p>
      <w:pPr>
        <w:pStyle w:val="WPW"/>
        <w:widowControl/>
        <w:numPr>
          <w:ilvl w:val="0"/>
          <w:numId w:val="5"/>
        </w:numPr>
        <w:rPr>
          <w:lang w:eastAsia="ja-JP"/>
        </w:rPr>
      </w:pPr>
      <w:r>
        <w:rPr>
          <w:lang w:eastAsia="ja-JP"/>
        </w:rPr>
        <w:t>Accordingly the Counterparty has a legitimate purpose to enter into this transaction.</w:t>
      </w:r>
      <w:r>
        <w:rPr>
          <w:lang w:eastAsia="ja-JP"/>
        </w:rPr>
        <w:t>”</w:t>
      </w:r>
    </w:p>
    <w:p>
      <w:pPr>
        <w:pStyle w:val="WPW"/>
        <w:widowControl/>
        <w:rPr>
          <w:lang w:eastAsia="ja-JP"/>
        </w:rPr>
      </w:pPr>
      <w:r>
        <w:rPr>
          <w:lang w:eastAsia="ja-JP"/>
        </w:rPr>
      </w:r>
    </w:p>
    <w:p>
      <w:pPr>
        <w:pStyle w:val="WPW"/>
        <w:widowControl/>
        <w:rPr/>
      </w:pPr>
      <w:r>
        <w:rPr>
          <w:lang w:eastAsia="ja-JP"/>
        </w:rPr>
        <w:t>We suggest that these representations are capitalized so that they appear prominently in the document.</w:t>
      </w:r>
      <w:r>
        <w:rPr>
          <w:lang w:eastAsia="ja-JP"/>
        </w:rPr>
        <w:t xml:space="preserve">  </w:t>
      </w:r>
    </w:p>
    <w:p>
      <w:pPr>
        <w:pStyle w:val="WPW"/>
        <w:widowControl/>
        <w:rPr>
          <w:lang w:eastAsia="ja-JP"/>
        </w:rPr>
      </w:pPr>
      <w:r>
        <w:rPr>
          <w:lang w:eastAsia="ja-JP"/>
        </w:rPr>
      </w:r>
    </w:p>
    <w:p>
      <w:pPr>
        <w:pStyle w:val="WPW"/>
        <w:widowControl/>
        <w:rPr>
          <w:u w:val="single"/>
          <w:lang w:eastAsia="ja-JP"/>
        </w:rPr>
      </w:pPr>
      <w:r>
        <w:rPr>
          <w:u w:val="single"/>
          <w:lang w:eastAsia="ja-JP"/>
        </w:rPr>
        <w:t>Clause 4.6  Holidays</w:t>
      </w:r>
    </w:p>
    <w:p>
      <w:pPr>
        <w:pStyle w:val="WPW"/>
        <w:widowControl/>
        <w:rPr>
          <w:b/>
          <w:u w:val="single"/>
          <w:lang w:eastAsia="ja-JP"/>
        </w:rPr>
      </w:pPr>
      <w:r>
        <w:rPr>
          <w:b/>
          <w:u w:val="single"/>
          <w:lang w:eastAsia="ja-JP"/>
        </w:rPr>
      </w:r>
    </w:p>
    <w:p>
      <w:pPr>
        <w:pStyle w:val="WPW"/>
        <w:widowControl/>
        <w:rPr>
          <w:lang w:eastAsia="ja-JP"/>
        </w:rPr>
      </w:pPr>
      <w:r>
        <w:rPr>
          <w:lang w:eastAsia="ja-JP"/>
        </w:rPr>
        <w:t>It is not clear from the clause what is to happen if the payment date falls on a midweek day on which banks are not open for business.</w:t>
      </w:r>
    </w:p>
    <w:p>
      <w:pPr>
        <w:pStyle w:val="WPW"/>
        <w:widowControl/>
        <w:rPr>
          <w:lang w:eastAsia="ja-JP"/>
        </w:rPr>
      </w:pPr>
      <w:r>
        <w:rPr>
          <w:lang w:eastAsia="ja-JP"/>
        </w:rPr>
      </w:r>
    </w:p>
    <w:p>
      <w:pPr>
        <w:pStyle w:val="WPW"/>
        <w:widowControl/>
        <w:rPr>
          <w:u w:val="single"/>
          <w:lang w:eastAsia="ja-JP"/>
        </w:rPr>
      </w:pPr>
      <w:r>
        <w:rPr>
          <w:u w:val="single"/>
          <w:lang w:eastAsia="ja-JP"/>
        </w:rPr>
        <w:t>Clause 4.8  Collateral</w:t>
      </w:r>
    </w:p>
    <w:p>
      <w:pPr>
        <w:pStyle w:val="WPW"/>
        <w:widowControl/>
        <w:rPr>
          <w:b/>
          <w:u w:val="single"/>
          <w:lang w:eastAsia="ja-JP"/>
        </w:rPr>
      </w:pPr>
      <w:r>
        <w:rPr>
          <w:b/>
          <w:u w:val="single"/>
          <w:lang w:eastAsia="ja-JP"/>
        </w:rPr>
      </w:r>
    </w:p>
    <w:p>
      <w:pPr>
        <w:pStyle w:val="WPW"/>
        <w:widowControl/>
        <w:rPr>
          <w:lang w:eastAsia="ja-JP"/>
        </w:rPr>
      </w:pPr>
      <w:r>
        <w:rPr>
          <w:lang w:eastAsia="ja-JP"/>
        </w:rPr>
        <w:t>As previously advised, it is unusual to request a letter of credit by way of security in Japan.  Guarantees are not uncommon and Japanese Government Bonds are also frequently used.  In view of the fact that the counterparties may not be Japanese, we suggest the provision be left as it is, but the position be noted by your credit controller.</w:t>
      </w:r>
    </w:p>
    <w:p>
      <w:pPr>
        <w:pStyle w:val="WPW"/>
        <w:widowControl/>
        <w:rPr>
          <w:lang w:eastAsia="ja-JP"/>
        </w:rPr>
      </w:pPr>
      <w:r>
        <w:rPr>
          <w:lang w:eastAsia="ja-JP"/>
        </w:rPr>
      </w:r>
    </w:p>
    <w:p>
      <w:pPr>
        <w:pStyle w:val="WPW"/>
        <w:widowControl/>
        <w:rPr>
          <w:u w:val="single"/>
          <w:lang w:eastAsia="ja-JP"/>
        </w:rPr>
      </w:pPr>
      <w:r>
        <w:rPr>
          <w:u w:val="single"/>
          <w:lang w:eastAsia="ja-JP"/>
        </w:rPr>
        <w:t>Clause 5.2  Title</w:t>
      </w:r>
    </w:p>
    <w:p>
      <w:pPr>
        <w:pStyle w:val="WPW"/>
        <w:widowControl/>
        <w:rPr>
          <w:b/>
          <w:u w:val="single"/>
          <w:lang w:eastAsia="ja-JP"/>
        </w:rPr>
      </w:pPr>
      <w:r>
        <w:rPr>
          <w:b/>
          <w:u w:val="single"/>
          <w:lang w:eastAsia="ja-JP"/>
        </w:rPr>
      </w:r>
    </w:p>
    <w:p>
      <w:pPr>
        <w:pStyle w:val="WPW"/>
        <w:widowControl/>
        <w:rPr/>
      </w:pPr>
      <w:r>
        <w:rPr>
          <w:lang w:eastAsia="ja-JP"/>
        </w:rPr>
        <w:t xml:space="preserve">The result of this provision is that title to the goods is likely to pass after delivery, if delivery is to be CIP or </w:t>
      </w:r>
      <w:r>
        <w:rPr>
          <w:lang w:eastAsia="ja-JP"/>
        </w:rPr>
        <w:t>“</w:t>
      </w:r>
      <w:r>
        <w:rPr>
          <w:lang w:eastAsia="ja-JP"/>
        </w:rPr>
        <w:t>delivered in warehouse at exporting country</w:t>
      </w:r>
      <w:r>
        <w:rPr>
          <w:lang w:eastAsia="ja-JP"/>
        </w:rPr>
        <w:t>”</w:t>
      </w:r>
      <w:r>
        <w:rPr>
          <w:lang w:eastAsia="ja-JP"/>
        </w:rPr>
        <w:t xml:space="preserve">, but before delivery if delivery is to be made into warehouse in Japan. </w:t>
      </w:r>
    </w:p>
    <w:p>
      <w:pPr>
        <w:pStyle w:val="WPW"/>
        <w:widowControl/>
        <w:rPr>
          <w:lang w:eastAsia="ja-JP"/>
        </w:rPr>
      </w:pPr>
      <w:r>
        <w:rPr>
          <w:lang w:eastAsia="ja-JP"/>
        </w:rPr>
      </w:r>
    </w:p>
    <w:p>
      <w:pPr>
        <w:pStyle w:val="WPW"/>
        <w:widowControl/>
        <w:rPr>
          <w:lang w:eastAsia="ja-JP"/>
        </w:rPr>
      </w:pPr>
      <w:r>
        <w:rPr>
          <w:lang w:eastAsia="ja-JP"/>
        </w:rPr>
        <w:t>Will need to confirm the tax and import implications of this.  See 2. below.</w:t>
      </w:r>
    </w:p>
    <w:p>
      <w:pPr>
        <w:pStyle w:val="WPW"/>
        <w:widowControl/>
        <w:rPr>
          <w:lang w:eastAsia="ja-JP"/>
        </w:rPr>
      </w:pPr>
      <w:r>
        <w:rPr>
          <w:lang w:eastAsia="ja-JP"/>
        </w:rPr>
      </w:r>
    </w:p>
    <w:p>
      <w:pPr>
        <w:pStyle w:val="WPW"/>
        <w:widowControl/>
        <w:rPr>
          <w:u w:val="single"/>
          <w:lang w:eastAsia="ja-JP"/>
        </w:rPr>
      </w:pPr>
      <w:r>
        <w:rPr>
          <w:u w:val="single"/>
          <w:lang w:eastAsia="ja-JP"/>
        </w:rPr>
        <w:t>Clause 6.1 (d)  Insolvency Events</w:t>
      </w:r>
    </w:p>
    <w:p>
      <w:pPr>
        <w:pStyle w:val="WPW"/>
        <w:widowControl/>
        <w:rPr>
          <w:b/>
          <w:u w:val="single"/>
          <w:lang w:eastAsia="ja-JP"/>
        </w:rPr>
      </w:pPr>
      <w:r>
        <w:rPr>
          <w:b/>
          <w:u w:val="single"/>
          <w:lang w:eastAsia="ja-JP"/>
        </w:rPr>
      </w:r>
    </w:p>
    <w:p>
      <w:pPr>
        <w:pStyle w:val="WPW"/>
        <w:widowControl/>
        <w:rPr>
          <w:lang w:eastAsia="ja-JP"/>
        </w:rPr>
      </w:pPr>
      <w:r>
        <w:rPr>
          <w:lang w:eastAsia="ja-JP"/>
        </w:rPr>
        <w:t>We have standard wording covering insolvency type events for Japanese companies.  We are not sure whether to change this or not in view of your instructions that the counter-party may or may not be Japanese.  The present wording is quite broad but may not catch some of the more unique Japanese concepts.</w:t>
      </w:r>
    </w:p>
    <w:p>
      <w:pPr>
        <w:pStyle w:val="WPW"/>
        <w:widowControl/>
        <w:rPr>
          <w:lang w:eastAsia="ja-JP"/>
        </w:rPr>
      </w:pPr>
      <w:r>
        <w:rPr>
          <w:lang w:eastAsia="ja-JP"/>
        </w:rPr>
      </w:r>
    </w:p>
    <w:p>
      <w:pPr>
        <w:pStyle w:val="WPW"/>
        <w:widowControl/>
        <w:rPr>
          <w:u w:val="single"/>
          <w:lang w:eastAsia="ja-JP"/>
        </w:rPr>
      </w:pPr>
      <w:r>
        <w:rPr>
          <w:u w:val="single"/>
          <w:lang w:eastAsia="ja-JP"/>
        </w:rPr>
        <w:t>Clause 6.3  Calculation of Losses</w:t>
      </w:r>
    </w:p>
    <w:p>
      <w:pPr>
        <w:pStyle w:val="WPW"/>
        <w:widowControl/>
        <w:rPr>
          <w:b/>
          <w:u w:val="single"/>
          <w:lang w:eastAsia="ja-JP"/>
        </w:rPr>
      </w:pPr>
      <w:r>
        <w:rPr>
          <w:b/>
          <w:u w:val="single"/>
          <w:lang w:eastAsia="ja-JP"/>
        </w:rPr>
      </w:r>
    </w:p>
    <w:p>
      <w:pPr>
        <w:pStyle w:val="WPW"/>
        <w:widowControl/>
        <w:rPr>
          <w:lang w:eastAsia="ja-JP"/>
        </w:rPr>
      </w:pPr>
      <w:r>
        <w:rPr>
          <w:lang w:eastAsia="ja-JP"/>
        </w:rPr>
        <w:t>In principle, the provision should be enforceable in Japan.  We leave for your consideration the enforceability of these provisions under English law.</w:t>
      </w:r>
    </w:p>
    <w:p>
      <w:pPr>
        <w:pStyle w:val="WPW"/>
        <w:widowControl/>
        <w:rPr>
          <w:lang w:eastAsia="ja-JP"/>
        </w:rPr>
      </w:pPr>
      <w:r>
        <w:rPr>
          <w:lang w:eastAsia="ja-JP"/>
        </w:rPr>
      </w:r>
    </w:p>
    <w:p>
      <w:pPr>
        <w:pStyle w:val="WPW"/>
        <w:widowControl/>
        <w:rPr>
          <w:u w:val="single"/>
          <w:lang w:eastAsia="ja-JP"/>
        </w:rPr>
      </w:pPr>
      <w:r>
        <w:rPr>
          <w:u w:val="single"/>
          <w:lang w:eastAsia="ja-JP"/>
        </w:rPr>
        <w:t>Clause 7.6  Raw Materials</w:t>
      </w:r>
    </w:p>
    <w:p>
      <w:pPr>
        <w:pStyle w:val="WPW"/>
        <w:widowControl/>
        <w:rPr>
          <w:b/>
          <w:u w:val="single"/>
          <w:lang w:eastAsia="ja-JP"/>
        </w:rPr>
      </w:pPr>
      <w:r>
        <w:rPr>
          <w:b/>
          <w:u w:val="single"/>
          <w:lang w:eastAsia="ja-JP"/>
        </w:rPr>
      </w:r>
    </w:p>
    <w:p>
      <w:pPr>
        <w:pStyle w:val="WPW"/>
        <w:widowControl/>
        <w:rPr>
          <w:lang w:eastAsia="ja-JP"/>
        </w:rPr>
      </w:pPr>
      <w:r>
        <w:rPr>
          <w:lang w:eastAsia="ja-JP"/>
        </w:rPr>
        <w:t xml:space="preserve">This is a commercial rather than a legal matter, but the Clause seems to give the Seller very wide scope to be absolved from liability. </w:t>
      </w:r>
    </w:p>
    <w:p>
      <w:pPr>
        <w:pStyle w:val="WPW"/>
        <w:widowControl/>
        <w:rPr>
          <w:lang w:eastAsia="ja-JP"/>
        </w:rPr>
      </w:pPr>
      <w:r>
        <w:rPr>
          <w:lang w:eastAsia="ja-JP"/>
        </w:rPr>
      </w:r>
    </w:p>
    <w:p>
      <w:pPr>
        <w:pStyle w:val="WPW"/>
        <w:widowControl/>
        <w:rPr>
          <w:u w:val="single"/>
          <w:lang w:eastAsia="ja-JP"/>
        </w:rPr>
      </w:pPr>
      <w:r>
        <w:rPr>
          <w:u w:val="single"/>
          <w:lang w:eastAsia="ja-JP"/>
        </w:rPr>
        <w:t>Clause 13.2  New Taxes</w:t>
      </w:r>
    </w:p>
    <w:p>
      <w:pPr>
        <w:pStyle w:val="WPW"/>
        <w:widowControl/>
        <w:rPr>
          <w:b/>
          <w:u w:val="single"/>
          <w:lang w:eastAsia="ja-JP"/>
        </w:rPr>
      </w:pPr>
      <w:r>
        <w:rPr>
          <w:b/>
          <w:u w:val="single"/>
          <w:lang w:eastAsia="ja-JP"/>
        </w:rPr>
      </w:r>
    </w:p>
    <w:p>
      <w:pPr>
        <w:pStyle w:val="WPW"/>
        <w:widowControl/>
        <w:rPr/>
      </w:pPr>
      <w:r>
        <w:rPr>
          <w:lang w:eastAsia="ja-JP"/>
        </w:rPr>
        <w:t xml:space="preserve">The reference to the ability to pass the tax onto </w:t>
      </w:r>
      <w:r>
        <w:rPr>
          <w:lang w:eastAsia="ja-JP"/>
        </w:rPr>
        <w:t>“</w:t>
      </w:r>
      <w:r>
        <w:rPr>
          <w:lang w:eastAsia="ja-JP"/>
        </w:rPr>
        <w:t>its customer</w:t>
      </w:r>
      <w:r>
        <w:rPr>
          <w:lang w:eastAsia="ja-JP"/>
        </w:rPr>
        <w:t>”</w:t>
      </w:r>
      <w:r>
        <w:rPr>
          <w:lang w:eastAsia="ja-JP"/>
        </w:rPr>
        <w:t xml:space="preserve"> does not seem to be appropriate if the tax is imposed on the Seller.  In such event, should the Seller attempt to pass the tax onto its supplier?</w:t>
      </w:r>
    </w:p>
    <w:p>
      <w:pPr>
        <w:pStyle w:val="WPW"/>
        <w:widowControl/>
        <w:rPr>
          <w:lang w:eastAsia="ja-JP"/>
        </w:rPr>
      </w:pPr>
      <w:r>
        <w:rPr>
          <w:lang w:eastAsia="ja-JP"/>
        </w:rPr>
      </w:r>
    </w:p>
    <w:p>
      <w:pPr>
        <w:pStyle w:val="WPW"/>
        <w:widowControl/>
        <w:rPr>
          <w:lang w:eastAsia="ja-JP"/>
        </w:rPr>
      </w:pPr>
      <w:r>
        <w:rPr>
          <w:lang w:eastAsia="ja-JP"/>
        </w:rPr>
        <w:t>Our tax team is to review.</w:t>
      </w:r>
    </w:p>
    <w:p>
      <w:pPr>
        <w:pStyle w:val="WPW"/>
        <w:widowControl/>
        <w:rPr>
          <w:lang w:eastAsia="ja-JP"/>
        </w:rPr>
      </w:pPr>
      <w:r>
        <w:rPr>
          <w:lang w:eastAsia="ja-JP"/>
        </w:rPr>
      </w:r>
    </w:p>
    <w:p>
      <w:pPr>
        <w:pStyle w:val="WPW"/>
        <w:widowControl/>
        <w:rPr>
          <w:u w:val="single"/>
          <w:lang w:eastAsia="ja-JP"/>
        </w:rPr>
      </w:pPr>
      <w:r>
        <w:rPr>
          <w:u w:val="single"/>
          <w:lang w:eastAsia="ja-JP"/>
        </w:rPr>
        <w:t>Clause 15.4  Assignment</w:t>
      </w:r>
    </w:p>
    <w:p>
      <w:pPr>
        <w:pStyle w:val="WPW"/>
        <w:widowControl/>
        <w:rPr>
          <w:b/>
          <w:u w:val="single"/>
          <w:lang w:eastAsia="ja-JP"/>
        </w:rPr>
      </w:pPr>
      <w:r>
        <w:rPr>
          <w:b/>
          <w:u w:val="single"/>
          <w:lang w:eastAsia="ja-JP"/>
        </w:rPr>
      </w:r>
    </w:p>
    <w:p>
      <w:pPr>
        <w:pStyle w:val="WPW"/>
        <w:widowControl/>
        <w:rPr>
          <w:lang w:eastAsia="ja-JP"/>
        </w:rPr>
      </w:pPr>
      <w:r>
        <w:rPr>
          <w:lang w:eastAsia="ja-JP"/>
        </w:rPr>
        <w:t>Japanese law requires the other party to consent to the assignment of a contract.  The consent can be given in advance so long as it is reasonably specific.</w:t>
      </w:r>
    </w:p>
    <w:p>
      <w:pPr>
        <w:pStyle w:val="Normal"/>
        <w:jc w:val="both"/>
        <w:rPr>
          <w:b/>
          <w:sz w:val="24"/>
          <w:lang w:eastAsia="ja-JP"/>
        </w:rPr>
      </w:pPr>
      <w:r>
        <w:rPr>
          <w:b/>
          <w:sz w:val="24"/>
          <w:lang w:eastAsia="ja-JP"/>
        </w:rPr>
      </w:r>
    </w:p>
    <w:p>
      <w:pPr>
        <w:pStyle w:val="Normal"/>
        <w:numPr>
          <w:ilvl w:val="0"/>
          <w:numId w:val="7"/>
        </w:numPr>
        <w:jc w:val="both"/>
        <w:rPr>
          <w:b/>
          <w:sz w:val="24"/>
          <w:lang w:eastAsia="ja-JP"/>
        </w:rPr>
      </w:pPr>
      <w:r>
        <w:rPr>
          <w:b/>
          <w:sz w:val="24"/>
          <w:lang w:eastAsia="ja-JP"/>
        </w:rPr>
        <w:t xml:space="preserve">Requirements for Trading Physical </w:t>
      </w:r>
      <w:r>
        <w:rPr>
          <w:b/>
          <w:sz w:val="24"/>
          <w:lang w:eastAsia="ja-JP"/>
        </w:rPr>
        <w:t>Aluminum</w:t>
      </w:r>
    </w:p>
    <w:p>
      <w:pPr>
        <w:pStyle w:val="Normal"/>
        <w:jc w:val="both"/>
        <w:rPr>
          <w:b/>
          <w:sz w:val="24"/>
          <w:lang w:eastAsia="ja-JP"/>
        </w:rPr>
      </w:pPr>
      <w:r>
        <w:rPr>
          <w:b/>
          <w:sz w:val="24"/>
          <w:lang w:eastAsia="ja-JP"/>
        </w:rPr>
      </w:r>
    </w:p>
    <w:p>
      <w:pPr>
        <w:pStyle w:val="Normal"/>
        <w:jc w:val="both"/>
        <w:rPr>
          <w:sz w:val="24"/>
          <w:u w:val="single"/>
          <w:lang w:eastAsia="ja-JP"/>
        </w:rPr>
      </w:pPr>
      <w:r>
        <w:rPr>
          <w:sz w:val="24"/>
          <w:u w:val="single"/>
          <w:lang w:eastAsia="ja-JP"/>
        </w:rPr>
        <w:t>Commodities Exchange Law</w:t>
      </w:r>
    </w:p>
    <w:p>
      <w:pPr>
        <w:pStyle w:val="Normal"/>
        <w:jc w:val="both"/>
        <w:rPr>
          <w:sz w:val="24"/>
          <w:u w:val="single"/>
          <w:lang w:eastAsia="ja-JP"/>
        </w:rPr>
      </w:pPr>
      <w:r>
        <w:rPr>
          <w:sz w:val="24"/>
          <w:u w:val="single"/>
          <w:lang w:eastAsia="ja-JP"/>
        </w:rPr>
      </w:r>
    </w:p>
    <w:p>
      <w:pPr>
        <w:pStyle w:val="Normal"/>
        <w:jc w:val="both"/>
        <w:rPr/>
      </w:pPr>
      <w:r>
        <w:rPr>
          <w:sz w:val="24"/>
          <w:lang w:eastAsia="ja-JP"/>
        </w:rPr>
        <w:t>A</w:t>
      </w:r>
      <w:r>
        <w:rPr>
          <w:sz w:val="24"/>
          <w:lang w:eastAsia="ja-JP"/>
        </w:rPr>
        <w:t xml:space="preserve">luminium </w:t>
      </w:r>
      <w:r>
        <w:rPr>
          <w:sz w:val="24"/>
          <w:lang w:eastAsia="ja-JP"/>
        </w:rPr>
        <w:t xml:space="preserve">is both a </w:t>
      </w:r>
      <w:r>
        <w:rPr>
          <w:sz w:val="24"/>
          <w:lang w:eastAsia="ja-JP"/>
        </w:rPr>
        <w:t>“</w:t>
      </w:r>
      <w:r>
        <w:rPr>
          <w:sz w:val="24"/>
          <w:lang w:eastAsia="ja-JP"/>
        </w:rPr>
        <w:t>Listed Commodity</w:t>
      </w:r>
      <w:r>
        <w:rPr>
          <w:sz w:val="24"/>
          <w:lang w:eastAsia="ja-JP"/>
        </w:rPr>
        <w:t>”</w:t>
      </w:r>
      <w:r>
        <w:rPr>
          <w:sz w:val="24"/>
          <w:lang w:eastAsia="ja-JP"/>
        </w:rPr>
        <w:t xml:space="preserve"> and a </w:t>
      </w:r>
      <w:r>
        <w:rPr>
          <w:sz w:val="24"/>
          <w:lang w:eastAsia="ja-JP"/>
        </w:rPr>
        <w:t>“</w:t>
      </w:r>
      <w:r>
        <w:rPr>
          <w:sz w:val="24"/>
          <w:lang w:eastAsia="ja-JP"/>
        </w:rPr>
        <w:t>Commodity</w:t>
      </w:r>
      <w:r>
        <w:rPr>
          <w:sz w:val="24"/>
          <w:lang w:eastAsia="ja-JP"/>
        </w:rPr>
        <w:t>”</w:t>
      </w:r>
      <w:r>
        <w:rPr>
          <w:sz w:val="24"/>
          <w:lang w:eastAsia="ja-JP"/>
        </w:rPr>
        <w:t xml:space="preserve"> for the purposes of the CEL</w:t>
      </w:r>
      <w:r>
        <w:rPr>
          <w:sz w:val="24"/>
          <w:lang w:eastAsia="ja-JP"/>
        </w:rPr>
        <w:t xml:space="preserve">, but only aluminium derivatives are actually being traded.  Accordingly our view is that the CEL provisions which could potentially apply, should not apply for the </w:t>
      </w:r>
      <w:r>
        <w:rPr>
          <w:sz w:val="24"/>
          <w:lang w:eastAsia="ja-JP"/>
        </w:rPr>
        <w:t>re</w:t>
      </w:r>
      <w:r>
        <w:rPr>
          <w:sz w:val="24"/>
          <w:lang w:eastAsia="ja-JP"/>
        </w:rPr>
        <w:t>asons set out below</w:t>
      </w:r>
      <w:r>
        <w:rPr>
          <w:sz w:val="24"/>
          <w:lang w:eastAsia="ja-JP"/>
        </w:rPr>
        <w:t>.</w:t>
      </w:r>
    </w:p>
    <w:p>
      <w:pPr>
        <w:pStyle w:val="Normal"/>
        <w:jc w:val="both"/>
        <w:rPr>
          <w:sz w:val="24"/>
          <w:lang w:eastAsia="ja-JP"/>
        </w:rPr>
      </w:pPr>
      <w:r>
        <w:rPr>
          <w:sz w:val="24"/>
          <w:lang w:eastAsia="ja-JP"/>
        </w:rPr>
      </w:r>
    </w:p>
    <w:tbl>
      <w:tblPr>
        <w:tblW w:w="8505" w:type="dxa"/>
        <w:jc w:val="start"/>
        <w:tblInd w:w="0" w:type="dxa"/>
        <w:tblLayout w:type="fixed"/>
        <w:tblCellMar>
          <w:top w:w="0" w:type="dxa"/>
          <w:start w:w="99" w:type="dxa"/>
          <w:bottom w:w="0" w:type="dxa"/>
          <w:end w:w="99" w:type="dxa"/>
        </w:tblCellMar>
      </w:tblPr>
      <w:tblGrid>
        <w:gridCol w:w="1299"/>
        <w:gridCol w:w="3100"/>
        <w:gridCol w:w="4106"/>
      </w:tblGrid>
      <w:tr>
        <w:trPr/>
        <w:tc>
          <w:tcPr>
            <w:tcW w:w="1299" w:type="dxa"/>
            <w:tcBorders>
              <w:top w:val="single" w:sz="4" w:space="0" w:color="000000"/>
              <w:start w:val="single" w:sz="4" w:space="0" w:color="000000"/>
              <w:bottom w:val="double" w:sz="4" w:space="0" w:color="000000"/>
              <w:end w:val="single" w:sz="4" w:space="0" w:color="000000"/>
            </w:tcBorders>
            <w:vAlign w:val="center"/>
          </w:tcPr>
          <w:p>
            <w:pPr>
              <w:pStyle w:val="Normal"/>
              <w:jc w:val="center"/>
              <w:rPr>
                <w:b/>
                <w:sz w:val="24"/>
                <w:lang w:eastAsia="ja-JP"/>
              </w:rPr>
            </w:pPr>
            <w:r>
              <w:rPr>
                <w:b/>
                <w:sz w:val="24"/>
                <w:lang w:eastAsia="ja-JP"/>
              </w:rPr>
              <w:t>CEL Provision</w:t>
            </w:r>
          </w:p>
        </w:tc>
        <w:tc>
          <w:tcPr>
            <w:tcW w:w="3100" w:type="dxa"/>
            <w:tcBorders>
              <w:top w:val="single" w:sz="4" w:space="0" w:color="000000"/>
              <w:start w:val="single" w:sz="4" w:space="0" w:color="000000"/>
              <w:bottom w:val="double" w:sz="4" w:space="0" w:color="000000"/>
              <w:end w:val="single" w:sz="4" w:space="0" w:color="000000"/>
            </w:tcBorders>
            <w:vAlign w:val="center"/>
          </w:tcPr>
          <w:p>
            <w:pPr>
              <w:pStyle w:val="Normal"/>
              <w:jc w:val="center"/>
              <w:rPr>
                <w:b/>
                <w:sz w:val="24"/>
                <w:lang w:eastAsia="ja-JP"/>
              </w:rPr>
            </w:pPr>
            <w:r>
              <w:rPr>
                <w:b/>
                <w:sz w:val="24"/>
                <w:lang w:eastAsia="ja-JP"/>
              </w:rPr>
              <w:t>Purport</w:t>
            </w:r>
          </w:p>
        </w:tc>
        <w:tc>
          <w:tcPr>
            <w:tcW w:w="4106" w:type="dxa"/>
            <w:tcBorders>
              <w:top w:val="single" w:sz="4" w:space="0" w:color="000000"/>
              <w:start w:val="single" w:sz="4" w:space="0" w:color="000000"/>
              <w:bottom w:val="double" w:sz="4" w:space="0" w:color="000000"/>
              <w:end w:val="single" w:sz="4" w:space="0" w:color="000000"/>
            </w:tcBorders>
            <w:vAlign w:val="center"/>
          </w:tcPr>
          <w:p>
            <w:pPr>
              <w:pStyle w:val="Normal"/>
              <w:jc w:val="center"/>
              <w:rPr>
                <w:b/>
                <w:sz w:val="24"/>
                <w:lang w:eastAsia="ja-JP"/>
              </w:rPr>
            </w:pPr>
            <w:r>
              <w:rPr>
                <w:b/>
                <w:sz w:val="24"/>
                <w:lang w:eastAsia="ja-JP"/>
              </w:rPr>
              <w:t>Applicability to Present Case</w:t>
            </w:r>
          </w:p>
        </w:tc>
      </w:tr>
      <w:tr>
        <w:trPr/>
        <w:tc>
          <w:tcPr>
            <w:tcW w:w="1299" w:type="dxa"/>
            <w:tcBorders>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145</w:t>
            </w:r>
          </w:p>
        </w:tc>
        <w:tc>
          <w:tcPr>
            <w:tcW w:w="3100" w:type="dxa"/>
            <w:tcBorders>
              <w:start w:val="single" w:sz="4" w:space="0" w:color="000000"/>
              <w:bottom w:val="single" w:sz="4" w:space="0" w:color="000000"/>
              <w:end w:val="single" w:sz="4" w:space="0" w:color="000000"/>
            </w:tcBorders>
          </w:tcPr>
          <w:p>
            <w:pPr>
              <w:pStyle w:val="Normal"/>
              <w:jc w:val="both"/>
              <w:rPr/>
            </w:pPr>
            <w:r>
              <w:rPr>
                <w:sz w:val="24"/>
                <w:lang w:eastAsia="ja-JP"/>
              </w:rPr>
              <w:t xml:space="preserve">Prohibits transactions based on prices quoted on the commodities market </w:t>
            </w:r>
            <w:r>
              <w:rPr>
                <w:sz w:val="24"/>
                <w:lang w:eastAsia="ja-JP"/>
              </w:rPr>
              <w:t xml:space="preserve">and based on differences in </w:t>
            </w:r>
            <w:r>
              <w:rPr>
                <w:sz w:val="24"/>
                <w:lang w:eastAsia="ja-JP"/>
              </w:rPr>
              <w:t>or similar to futures regarding Listed Commodities (including aluminum).</w:t>
            </w:r>
          </w:p>
        </w:tc>
        <w:tc>
          <w:tcPr>
            <w:tcW w:w="4106" w:type="dxa"/>
            <w:tcBorders>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w:t>
            </w:r>
            <w:r>
              <w:rPr>
                <w:sz w:val="24"/>
                <w:lang w:eastAsia="ja-JP"/>
              </w:rPr>
              <w:t xml:space="preserve">(1) not being traded and (2) </w:t>
            </w:r>
            <w:r>
              <w:rPr>
                <w:sz w:val="24"/>
                <w:lang w:eastAsia="ja-JP"/>
              </w:rPr>
              <w:t>not a futures transaction.</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145-5</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Requires notice to MITI for futures transactions regarding certain Listed Commodities (including </w:t>
            </w:r>
            <w:r>
              <w:rPr>
                <w:sz w:val="24"/>
                <w:lang w:eastAsia="ja-JP"/>
              </w:rPr>
              <w:t>aluminum</w:t>
            </w:r>
            <w:r>
              <w:rPr>
                <w:sz w:val="24"/>
                <w:lang w:eastAsia="ja-JP"/>
              </w:rPr>
              <w:t>).</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w:t>
            </w:r>
            <w:r>
              <w:rPr>
                <w:sz w:val="24"/>
                <w:lang w:eastAsia="ja-JP"/>
              </w:rPr>
              <w:t xml:space="preserve">(1) not being traded and (2) </w:t>
            </w:r>
            <w:r>
              <w:rPr>
                <w:sz w:val="24"/>
                <w:lang w:eastAsia="ja-JP"/>
              </w:rPr>
              <w:t>not a futures transaction.</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126</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Requires MITI permission to engage in brokerage transactions.</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w:t>
            </w:r>
            <w:r>
              <w:rPr>
                <w:sz w:val="24"/>
                <w:lang w:eastAsia="ja-JP"/>
              </w:rPr>
              <w:t xml:space="preserve">(1) not being traded and (2) </w:t>
            </w:r>
            <w:r>
              <w:rPr>
                <w:sz w:val="24"/>
                <w:lang w:eastAsia="ja-JP"/>
              </w:rPr>
              <w:t>not a futures transaction.</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8</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Prohibits establishment of a facility for transactions similar to futures with respect to Commodities (different from Listed Commodities, but includes aluminum).</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w:t>
            </w:r>
            <w:r>
              <w:rPr>
                <w:sz w:val="24"/>
                <w:lang w:eastAsia="ja-JP"/>
              </w:rPr>
              <w:t xml:space="preserve">(1) not being traded,  (2) </w:t>
            </w:r>
            <w:r>
              <w:rPr>
                <w:sz w:val="24"/>
                <w:lang w:eastAsia="ja-JP"/>
              </w:rPr>
              <w:t xml:space="preserve">bilateral trades do not constitute a </w:t>
            </w:r>
            <w:r>
              <w:rPr>
                <w:sz w:val="24"/>
                <w:lang w:eastAsia="ja-JP"/>
              </w:rPr>
              <w:t>“</w:t>
            </w:r>
            <w:r>
              <w:rPr>
                <w:sz w:val="24"/>
                <w:lang w:eastAsia="ja-JP"/>
              </w:rPr>
              <w:t>facility</w:t>
            </w:r>
            <w:r>
              <w:rPr>
                <w:sz w:val="24"/>
                <w:lang w:eastAsia="ja-JP"/>
              </w:rPr>
              <w:t>”</w:t>
            </w:r>
            <w:r>
              <w:rPr>
                <w:sz w:val="24"/>
                <w:lang w:eastAsia="ja-JP"/>
              </w:rPr>
              <w:t>, (</w:t>
            </w:r>
            <w:r>
              <w:rPr>
                <w:sz w:val="24"/>
                <w:lang w:eastAsia="ja-JP"/>
              </w:rPr>
              <w:t>3</w:t>
            </w:r>
            <w:r>
              <w:rPr>
                <w:sz w:val="24"/>
                <w:lang w:eastAsia="ja-JP"/>
              </w:rPr>
              <w:t xml:space="preserve">) the facility is not </w:t>
            </w:r>
            <w:r>
              <w:rPr>
                <w:sz w:val="24"/>
                <w:u w:val="single"/>
                <w:lang w:eastAsia="ja-JP"/>
              </w:rPr>
              <w:t>in Japan</w:t>
            </w:r>
            <w:r>
              <w:rPr>
                <w:sz w:val="24"/>
                <w:u w:val="single"/>
                <w:lang w:eastAsia="ja-JP"/>
              </w:rPr>
              <w:t xml:space="preserve">, </w:t>
            </w:r>
            <w:r>
              <w:rPr>
                <w:sz w:val="24"/>
                <w:lang w:eastAsia="ja-JP"/>
              </w:rPr>
              <w:t>(4) (possibly) not a futures transaction</w:t>
            </w:r>
            <w:r>
              <w:rPr>
                <w:sz w:val="24"/>
                <w:lang w:eastAsia="ja-JP"/>
              </w:rPr>
              <w:t xml:space="preserve">. </w:t>
            </w:r>
          </w:p>
        </w:tc>
      </w:tr>
    </w:tbl>
    <w:p>
      <w:pPr>
        <w:pStyle w:val="Normal"/>
        <w:jc w:val="both"/>
        <w:rPr>
          <w:b/>
          <w:sz w:val="24"/>
          <w:lang w:eastAsia="ja-JP"/>
        </w:rPr>
      </w:pPr>
      <w:r>
        <w:rPr>
          <w:b/>
          <w:sz w:val="24"/>
          <w:lang w:eastAsia="ja-JP"/>
        </w:rPr>
      </w:r>
      <w:r>
        <w:br w:type="page"/>
      </w:r>
    </w:p>
    <w:p>
      <w:pPr>
        <w:pStyle w:val="WPW"/>
        <w:widowControl/>
        <w:rPr>
          <w:b/>
          <w:sz w:val="24"/>
          <w:lang w:eastAsia="ja-JP"/>
        </w:rPr>
      </w:pPr>
      <w:r>
        <w:rPr>
          <w:b/>
          <w:sz w:val="24"/>
          <w:lang w:eastAsia="ja-JP"/>
        </w:rPr>
      </w:r>
    </w:p>
    <w:p>
      <w:pPr>
        <w:pStyle w:val="Normal"/>
        <w:jc w:val="both"/>
        <w:rPr>
          <w:sz w:val="24"/>
          <w:u w:val="single"/>
          <w:lang w:eastAsia="ja-JP"/>
        </w:rPr>
      </w:pPr>
      <w:r>
        <w:rPr>
          <w:sz w:val="24"/>
          <w:u w:val="single"/>
          <w:lang w:eastAsia="ja-JP"/>
        </w:rPr>
        <w:t>If Activities are Conducted by EJ</w:t>
      </w:r>
    </w:p>
    <w:p>
      <w:pPr>
        <w:pStyle w:val="Normal"/>
        <w:jc w:val="both"/>
        <w:rPr>
          <w:b/>
          <w:sz w:val="24"/>
          <w:u w:val="single"/>
          <w:lang w:eastAsia="ja-JP"/>
        </w:rPr>
      </w:pPr>
      <w:r>
        <w:rPr>
          <w:b/>
          <w:sz w:val="24"/>
          <w:u w:val="single"/>
          <w:lang w:eastAsia="ja-JP"/>
        </w:rPr>
      </w:r>
    </w:p>
    <w:p>
      <w:pPr>
        <w:pStyle w:val="Normal"/>
        <w:jc w:val="both"/>
        <w:rPr/>
      </w:pPr>
      <w:r>
        <w:rPr>
          <w:sz w:val="24"/>
          <w:lang w:eastAsia="ja-JP"/>
        </w:rPr>
        <w:t xml:space="preserve">Fundamentally, this would not change the analysis with regard to </w:t>
      </w:r>
      <w:r>
        <w:rPr>
          <w:sz w:val="24"/>
          <w:lang w:eastAsia="ja-JP"/>
        </w:rPr>
        <w:t xml:space="preserve">the </w:t>
      </w:r>
      <w:r>
        <w:rPr>
          <w:sz w:val="24"/>
          <w:lang w:eastAsia="ja-JP"/>
        </w:rPr>
        <w:t>CEL, although the use of an onshore company may make it easier for the government to attempt to regulate by legal means or by way of administrative guidance.</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Gambling Issues</w:t>
      </w:r>
    </w:p>
    <w:p>
      <w:pPr>
        <w:pStyle w:val="Normal"/>
        <w:jc w:val="both"/>
        <w:rPr>
          <w:sz w:val="24"/>
          <w:u w:val="single"/>
          <w:lang w:eastAsia="ja-JP"/>
        </w:rPr>
      </w:pPr>
      <w:r>
        <w:rPr>
          <w:sz w:val="24"/>
          <w:u w:val="single"/>
          <w:lang w:eastAsia="ja-JP"/>
        </w:rPr>
      </w:r>
    </w:p>
    <w:p>
      <w:pPr>
        <w:pStyle w:val="Normal"/>
        <w:jc w:val="both"/>
        <w:rPr/>
      </w:pPr>
      <w:r>
        <w:rPr>
          <w:sz w:val="24"/>
          <w:lang w:eastAsia="ja-JP"/>
        </w:rPr>
        <w:t xml:space="preserve">To the extent the pricing is fixed and not based upon a </w:t>
      </w:r>
      <w:r>
        <w:rPr>
          <w:sz w:val="24"/>
          <w:lang w:eastAsia="ja-JP"/>
        </w:rPr>
        <w:t>“</w:t>
      </w:r>
      <w:r>
        <w:rPr>
          <w:sz w:val="24"/>
          <w:lang w:eastAsia="ja-JP"/>
        </w:rPr>
        <w:t>coincidental event</w:t>
      </w:r>
      <w:r>
        <w:rPr>
          <w:sz w:val="24"/>
          <w:lang w:eastAsia="ja-JP"/>
        </w:rPr>
        <w:t>”</w:t>
      </w:r>
      <w:r>
        <w:rPr>
          <w:sz w:val="24"/>
          <w:lang w:eastAsia="ja-JP"/>
        </w:rPr>
        <w:t>, there will be no gambling implications.</w:t>
      </w:r>
    </w:p>
    <w:p>
      <w:pPr>
        <w:pStyle w:val="Normal"/>
        <w:jc w:val="both"/>
        <w:rPr>
          <w:sz w:val="24"/>
          <w:lang w:eastAsia="ja-JP"/>
        </w:rPr>
      </w:pPr>
      <w:r>
        <w:rPr>
          <w:sz w:val="24"/>
          <w:lang w:eastAsia="ja-JP"/>
        </w:rPr>
      </w:r>
    </w:p>
    <w:p>
      <w:pPr>
        <w:pStyle w:val="Normal"/>
        <w:jc w:val="both"/>
        <w:rPr>
          <w:sz w:val="24"/>
          <w:lang w:eastAsia="ja-JP"/>
        </w:rPr>
      </w:pPr>
      <w:r>
        <w:rPr>
          <w:sz w:val="24"/>
          <w:lang w:eastAsia="ja-JP"/>
        </w:rPr>
        <w:t>Such implications do arise with respect to derivatives, and these are referred to in 3. below.</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Foreign Investment</w:t>
      </w:r>
    </w:p>
    <w:p>
      <w:pPr>
        <w:pStyle w:val="Normal"/>
        <w:jc w:val="both"/>
        <w:rPr>
          <w:b/>
          <w:sz w:val="24"/>
          <w:u w:val="single"/>
          <w:lang w:eastAsia="ja-JP"/>
        </w:rPr>
      </w:pPr>
      <w:r>
        <w:rPr>
          <w:b/>
          <w:sz w:val="24"/>
          <w:u w:val="single"/>
          <w:lang w:eastAsia="ja-JP"/>
        </w:rPr>
      </w:r>
    </w:p>
    <w:p>
      <w:pPr>
        <w:pStyle w:val="WPW"/>
        <w:widowControl/>
        <w:rPr/>
      </w:pPr>
      <w:r>
        <w:rPr>
          <w:lang w:eastAsia="ja-JP"/>
        </w:rPr>
        <w:t xml:space="preserve">The Foreign Exchange and Foreign Trade Law (FEFTL) requires a foreign investor (including a company incorporated in Japan in which foreign parties own 50% or more of the shares) to make prior notification (in effect seek approval) for investments into certain listed industries.  A number of energy related industries are listed, but not the dealing in </w:t>
      </w:r>
      <w:r>
        <w:rPr>
          <w:lang w:eastAsia="ja-JP"/>
        </w:rPr>
        <w:t>aluminum</w:t>
      </w:r>
      <w:r>
        <w:rPr>
          <w:lang w:eastAsia="ja-JP"/>
        </w:rPr>
        <w:t xml:space="preserve"> or other non-</w:t>
      </w:r>
      <w:r>
        <w:rPr>
          <w:lang w:eastAsia="ja-JP"/>
        </w:rPr>
        <w:t>ferrous</w:t>
      </w:r>
      <w:r>
        <w:rPr>
          <w:lang w:eastAsia="ja-JP"/>
        </w:rPr>
        <w:t xml:space="preserve"> metals.</w:t>
      </w:r>
    </w:p>
    <w:p>
      <w:pPr>
        <w:pStyle w:val="Date"/>
        <w:rPr>
          <w:rFonts w:ascii="Times New Roman" w:hAnsi="Times New Roman" w:cs="Times New Roman"/>
          <w:lang w:eastAsia="ja-JP"/>
        </w:rPr>
      </w:pPr>
      <w:r>
        <w:rPr>
          <w:rFonts w:cs="Times New Roman" w:ascii="Times New Roman" w:hAnsi="Times New Roman"/>
          <w:lang w:eastAsia="ja-JP"/>
        </w:rPr>
      </w:r>
    </w:p>
    <w:p>
      <w:pPr>
        <w:pStyle w:val="Normal"/>
        <w:jc w:val="both"/>
        <w:rPr/>
      </w:pPr>
      <w:r>
        <w:rPr>
          <w:sz w:val="24"/>
          <w:lang w:eastAsia="ja-JP"/>
        </w:rPr>
        <w:t xml:space="preserve">If new money is to be invested for </w:t>
      </w:r>
      <w:r>
        <w:rPr>
          <w:sz w:val="24"/>
          <w:lang w:eastAsia="ja-JP"/>
        </w:rPr>
        <w:t>the</w:t>
      </w:r>
      <w:r>
        <w:rPr>
          <w:sz w:val="24"/>
          <w:lang w:eastAsia="ja-JP"/>
        </w:rPr>
        <w:t xml:space="preserve"> purpose (or the objects of the Japanese company changed), then a post-completion report may need to be filed. </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Articles of Enron Japan</w:t>
      </w:r>
    </w:p>
    <w:p>
      <w:pPr>
        <w:pStyle w:val="Normal"/>
        <w:jc w:val="both"/>
        <w:rPr>
          <w:b/>
          <w:sz w:val="24"/>
          <w:u w:val="single"/>
          <w:lang w:eastAsia="ja-JP"/>
        </w:rPr>
      </w:pPr>
      <w:r>
        <w:rPr>
          <w:b/>
          <w:sz w:val="24"/>
          <w:u w:val="single"/>
          <w:lang w:eastAsia="ja-JP"/>
        </w:rPr>
      </w:r>
    </w:p>
    <w:p>
      <w:pPr>
        <w:pStyle w:val="WPr"/>
        <w:widowControl/>
        <w:jc w:val="both"/>
        <w:rPr>
          <w:position w:val="0"/>
          <w:sz w:val="24"/>
          <w:vertAlign w:val="baseline"/>
          <w:lang w:eastAsia="ja-JP"/>
        </w:rPr>
      </w:pPr>
      <w:r>
        <w:rPr>
          <w:position w:val="0"/>
          <w:sz w:val="24"/>
          <w:vertAlign w:val="baseline"/>
          <w:lang w:eastAsia="ja-JP"/>
        </w:rPr>
        <w:t>The present objects of neither EJM nor EM would cover the activities.  Accordingly, if one of these companies is to conduct the business its objects (articles of incorporation) will need to be revised.</w:t>
      </w:r>
    </w:p>
    <w:p>
      <w:pPr>
        <w:pStyle w:val="Normal"/>
        <w:jc w:val="both"/>
        <w:rPr>
          <w:position w:val="0"/>
          <w:sz w:val="24"/>
          <w:sz w:val="24"/>
          <w:vertAlign w:val="baseline"/>
          <w:lang w:eastAsia="ja-JP"/>
        </w:rPr>
      </w:pPr>
      <w:r>
        <w:rPr>
          <w:position w:val="0"/>
          <w:sz w:val="24"/>
          <w:sz w:val="24"/>
          <w:vertAlign w:val="baseline"/>
          <w:lang w:eastAsia="ja-JP"/>
        </w:rPr>
      </w:r>
    </w:p>
    <w:p>
      <w:pPr>
        <w:pStyle w:val="Normal"/>
        <w:jc w:val="both"/>
        <w:rPr>
          <w:sz w:val="24"/>
          <w:u w:val="single"/>
          <w:lang w:eastAsia="ja-JP"/>
        </w:rPr>
      </w:pPr>
      <w:r>
        <w:rPr>
          <w:sz w:val="24"/>
          <w:u w:val="single"/>
          <w:lang w:eastAsia="ja-JP"/>
        </w:rPr>
        <w:t>FEFTL Report</w:t>
      </w:r>
    </w:p>
    <w:p>
      <w:pPr>
        <w:pStyle w:val="Normal"/>
        <w:jc w:val="both"/>
        <w:rPr>
          <w:b/>
          <w:sz w:val="24"/>
          <w:u w:val="single"/>
          <w:lang w:eastAsia="ja-JP"/>
        </w:rPr>
      </w:pPr>
      <w:r>
        <w:rPr>
          <w:b/>
          <w:sz w:val="24"/>
          <w:u w:val="single"/>
          <w:lang w:eastAsia="ja-JP"/>
        </w:rPr>
      </w:r>
    </w:p>
    <w:p>
      <w:pPr>
        <w:pStyle w:val="WPW"/>
        <w:widowControl/>
        <w:rPr>
          <w:lang w:eastAsia="ja-JP"/>
        </w:rPr>
      </w:pPr>
      <w:r>
        <w:rPr>
          <w:lang w:eastAsia="ja-JP"/>
        </w:rPr>
        <w:t>A report concerning the payment may be required.  If the transaction is a normal import transaction this would normally be handled by the remitting bank.</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 xml:space="preserve">Import </w:t>
      </w:r>
      <w:r>
        <w:rPr>
          <w:sz w:val="24"/>
          <w:u w:val="single"/>
          <w:lang w:eastAsia="ja-JP"/>
        </w:rPr>
        <w:t>Restrictions</w:t>
      </w:r>
    </w:p>
    <w:p>
      <w:pPr>
        <w:pStyle w:val="Normal"/>
        <w:jc w:val="both"/>
        <w:rPr>
          <w:b/>
          <w:sz w:val="24"/>
          <w:u w:val="single"/>
          <w:lang w:eastAsia="ja-JP"/>
        </w:rPr>
      </w:pPr>
      <w:r>
        <w:rPr>
          <w:b/>
          <w:sz w:val="24"/>
          <w:u w:val="single"/>
          <w:lang w:eastAsia="ja-JP"/>
        </w:rPr>
      </w:r>
    </w:p>
    <w:p>
      <w:pPr>
        <w:pStyle w:val="WPW"/>
        <w:widowControl/>
        <w:rPr/>
      </w:pPr>
      <w:r>
        <w:rPr>
          <w:lang w:eastAsia="ja-JP"/>
        </w:rPr>
        <w:t xml:space="preserve">The import of certain products into Japan requires approval.  However, the import of </w:t>
      </w:r>
      <w:r>
        <w:rPr>
          <w:lang w:eastAsia="ja-JP"/>
        </w:rPr>
        <w:t>aluminum</w:t>
      </w:r>
      <w:r>
        <w:rPr>
          <w:lang w:eastAsia="ja-JP"/>
        </w:rPr>
        <w:t xml:space="preserve"> is not regulated.</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Customs / Import Procedures</w:t>
      </w:r>
    </w:p>
    <w:p>
      <w:pPr>
        <w:pStyle w:val="Normal"/>
        <w:jc w:val="both"/>
        <w:rPr>
          <w:b/>
          <w:sz w:val="24"/>
          <w:u w:val="single"/>
          <w:lang w:eastAsia="ja-JP"/>
        </w:rPr>
      </w:pPr>
      <w:r>
        <w:rPr>
          <w:b/>
          <w:sz w:val="24"/>
          <w:u w:val="single"/>
          <w:lang w:eastAsia="ja-JP"/>
        </w:rPr>
      </w:r>
    </w:p>
    <w:p>
      <w:pPr>
        <w:pStyle w:val="Normal"/>
        <w:jc w:val="both"/>
        <w:rPr/>
      </w:pPr>
      <w:r>
        <w:rPr>
          <w:sz w:val="24"/>
          <w:lang w:eastAsia="ja-JP"/>
        </w:rPr>
        <w:t xml:space="preserve">A number of issues arise around the question of whether ECT will be the </w:t>
      </w:r>
      <w:r>
        <w:rPr>
          <w:sz w:val="24"/>
          <w:lang w:eastAsia="ja-JP"/>
        </w:rPr>
        <w:t>“</w:t>
      </w:r>
      <w:r>
        <w:rPr>
          <w:sz w:val="24"/>
          <w:lang w:eastAsia="ja-JP"/>
        </w:rPr>
        <w:t>importer</w:t>
      </w:r>
      <w:r>
        <w:rPr>
          <w:sz w:val="24"/>
          <w:lang w:eastAsia="ja-JP"/>
        </w:rPr>
        <w:t>”</w:t>
      </w:r>
      <w:r>
        <w:rPr>
          <w:sz w:val="24"/>
          <w:lang w:eastAsia="ja-JP"/>
        </w:rPr>
        <w:t xml:space="preserve"> of the goods into Japan.</w:t>
      </w:r>
    </w:p>
    <w:p>
      <w:pPr>
        <w:pStyle w:val="Normal"/>
        <w:jc w:val="both"/>
        <w:rPr>
          <w:sz w:val="24"/>
          <w:lang w:eastAsia="ja-JP"/>
        </w:rPr>
      </w:pPr>
      <w:r>
        <w:rPr>
          <w:sz w:val="24"/>
          <w:lang w:eastAsia="ja-JP"/>
        </w:rPr>
      </w:r>
    </w:p>
    <w:p>
      <w:pPr>
        <w:pStyle w:val="Normal"/>
        <w:jc w:val="both"/>
        <w:rPr>
          <w:sz w:val="24"/>
          <w:lang w:eastAsia="ja-JP"/>
        </w:rPr>
      </w:pPr>
      <w:r>
        <w:rPr>
          <w:sz w:val="24"/>
          <w:lang w:eastAsia="ja-JP"/>
        </w:rPr>
        <w:t xml:space="preserve">Based upon delivery of the goods, the analysis is as follows. </w:t>
      </w:r>
    </w:p>
    <w:p>
      <w:pPr>
        <w:pStyle w:val="Normal"/>
        <w:jc w:val="both"/>
        <w:rPr>
          <w:sz w:val="24"/>
          <w:lang w:eastAsia="ja-JP"/>
        </w:rPr>
      </w:pPr>
      <w:r>
        <w:rPr>
          <w:sz w:val="24"/>
          <w:lang w:eastAsia="ja-JP"/>
        </w:rPr>
      </w:r>
    </w:p>
    <w:p>
      <w:pPr>
        <w:pStyle w:val="Normal"/>
        <w:jc w:val="both"/>
        <w:rPr>
          <w:sz w:val="24"/>
          <w:lang w:eastAsia="ja-JP"/>
        </w:rPr>
      </w:pPr>
      <w:r>
        <w:rPr>
          <w:sz w:val="24"/>
          <w:lang w:eastAsia="ja-JP"/>
        </w:rPr>
        <w:t>The GCT provides that the goods will be delivered at the Delivery Point specified in the website and referred to in the Schedule.</w:t>
      </w:r>
    </w:p>
    <w:p>
      <w:pPr>
        <w:pStyle w:val="Normal"/>
        <w:jc w:val="both"/>
        <w:rPr>
          <w:sz w:val="24"/>
          <w:lang w:eastAsia="ja-JP"/>
        </w:rPr>
      </w:pPr>
      <w:r>
        <w:rPr>
          <w:sz w:val="24"/>
          <w:lang w:eastAsia="ja-JP"/>
        </w:rPr>
      </w:r>
    </w:p>
    <w:p>
      <w:pPr>
        <w:pStyle w:val="Normal"/>
        <w:jc w:val="both"/>
        <w:rPr>
          <w:sz w:val="24"/>
          <w:lang w:eastAsia="ja-JP"/>
        </w:rPr>
      </w:pPr>
      <w:r>
        <w:rPr>
          <w:sz w:val="24"/>
          <w:lang w:eastAsia="ja-JP"/>
        </w:rPr>
        <w:t>The Schedule provides for the goods to be delivered either:</w:t>
      </w:r>
    </w:p>
    <w:p>
      <w:pPr>
        <w:pStyle w:val="Normal"/>
        <w:jc w:val="both"/>
        <w:rPr>
          <w:sz w:val="24"/>
          <w:lang w:eastAsia="ja-JP"/>
        </w:rPr>
      </w:pPr>
      <w:r>
        <w:rPr>
          <w:sz w:val="24"/>
          <w:lang w:eastAsia="ja-JP"/>
        </w:rPr>
      </w:r>
    </w:p>
    <w:p>
      <w:pPr>
        <w:pStyle w:val="Normal"/>
        <w:numPr>
          <w:ilvl w:val="0"/>
          <w:numId w:val="4"/>
        </w:numPr>
        <w:tabs>
          <w:tab w:val="clear" w:pos="720"/>
          <w:tab w:val="left" w:pos="700" w:leader="none"/>
        </w:tabs>
        <w:ind w:hanging="700" w:start="700" w:end="0"/>
        <w:jc w:val="both"/>
        <w:rPr>
          <w:sz w:val="24"/>
          <w:lang w:eastAsia="ja-JP"/>
        </w:rPr>
      </w:pPr>
      <w:r>
        <w:rPr>
          <w:sz w:val="24"/>
          <w:lang w:eastAsia="ja-JP"/>
        </w:rPr>
        <w:t xml:space="preserve">In warehouse, or </w:t>
      </w:r>
    </w:p>
    <w:p>
      <w:pPr>
        <w:pStyle w:val="Normal"/>
        <w:numPr>
          <w:ilvl w:val="0"/>
          <w:numId w:val="4"/>
        </w:numPr>
        <w:tabs>
          <w:tab w:val="clear" w:pos="720"/>
          <w:tab w:val="left" w:pos="700" w:leader="none"/>
        </w:tabs>
        <w:ind w:hanging="700" w:start="700" w:end="0"/>
        <w:jc w:val="both"/>
        <w:rPr>
          <w:sz w:val="24"/>
          <w:lang w:eastAsia="ja-JP"/>
        </w:rPr>
      </w:pPr>
      <w:r>
        <w:rPr>
          <w:sz w:val="24"/>
          <w:lang w:eastAsia="ja-JP"/>
        </w:rPr>
        <w:t>CIP.</w:t>
      </w:r>
    </w:p>
    <w:p>
      <w:pPr>
        <w:pStyle w:val="Normal"/>
        <w:jc w:val="both"/>
        <w:rPr>
          <w:sz w:val="24"/>
          <w:lang w:eastAsia="ja-JP"/>
        </w:rPr>
      </w:pPr>
      <w:r>
        <w:rPr>
          <w:sz w:val="24"/>
          <w:lang w:eastAsia="ja-JP"/>
        </w:rPr>
      </w:r>
    </w:p>
    <w:p>
      <w:pPr>
        <w:pStyle w:val="Normal"/>
        <w:jc w:val="both"/>
        <w:rPr/>
      </w:pPr>
      <w:r>
        <w:rPr>
          <w:sz w:val="24"/>
          <w:lang w:eastAsia="ja-JP"/>
        </w:rPr>
        <w:t xml:space="preserve">In the former case, if the warehouse is outside Japan, then the sale will be outside Japan.  If the warehouse is in Japan, then ECT (if Seller) will be the </w:t>
      </w:r>
      <w:r>
        <w:rPr>
          <w:sz w:val="24"/>
          <w:lang w:eastAsia="ja-JP"/>
        </w:rPr>
        <w:t>“</w:t>
      </w:r>
      <w:r>
        <w:rPr>
          <w:sz w:val="24"/>
          <w:lang w:eastAsia="ja-JP"/>
        </w:rPr>
        <w:t>importer</w:t>
      </w:r>
      <w:r>
        <w:rPr>
          <w:sz w:val="24"/>
          <w:lang w:eastAsia="ja-JP"/>
        </w:rPr>
        <w:t>”</w:t>
      </w:r>
      <w:r>
        <w:rPr>
          <w:sz w:val="24"/>
          <w:lang w:eastAsia="ja-JP"/>
        </w:rPr>
        <w:t xml:space="preserve"> of the goods and therefore potentially has exposure in relation to:</w:t>
      </w:r>
    </w:p>
    <w:p>
      <w:pPr>
        <w:pStyle w:val="Normal"/>
        <w:jc w:val="both"/>
        <w:rPr>
          <w:sz w:val="24"/>
          <w:lang w:eastAsia="ja-JP"/>
        </w:rPr>
      </w:pPr>
      <w:r>
        <w:rPr>
          <w:sz w:val="24"/>
          <w:lang w:eastAsia="ja-JP"/>
        </w:rPr>
      </w:r>
    </w:p>
    <w:p>
      <w:pPr>
        <w:pStyle w:val="Normal"/>
        <w:numPr>
          <w:ilvl w:val="0"/>
          <w:numId w:val="4"/>
        </w:numPr>
        <w:tabs>
          <w:tab w:val="clear" w:pos="720"/>
          <w:tab w:val="left" w:pos="700" w:leader="none"/>
        </w:tabs>
        <w:ind w:hanging="700" w:start="700" w:end="0"/>
        <w:jc w:val="both"/>
        <w:rPr>
          <w:sz w:val="24"/>
          <w:lang w:eastAsia="ja-JP"/>
        </w:rPr>
      </w:pPr>
      <w:r>
        <w:rPr>
          <w:sz w:val="24"/>
          <w:lang w:eastAsia="ja-JP"/>
        </w:rPr>
        <w:t>Import approvals</w:t>
      </w:r>
    </w:p>
    <w:p>
      <w:pPr>
        <w:pStyle w:val="Normal"/>
        <w:numPr>
          <w:ilvl w:val="0"/>
          <w:numId w:val="4"/>
        </w:numPr>
        <w:tabs>
          <w:tab w:val="clear" w:pos="720"/>
          <w:tab w:val="left" w:pos="700" w:leader="none"/>
        </w:tabs>
        <w:ind w:hanging="700" w:start="700" w:end="0"/>
        <w:jc w:val="both"/>
        <w:rPr>
          <w:sz w:val="24"/>
          <w:lang w:eastAsia="ja-JP"/>
        </w:rPr>
      </w:pPr>
      <w:r>
        <w:rPr>
          <w:sz w:val="24"/>
          <w:lang w:eastAsia="ja-JP"/>
        </w:rPr>
        <w:t>Import duty</w:t>
      </w:r>
    </w:p>
    <w:p>
      <w:pPr>
        <w:pStyle w:val="Normal"/>
        <w:numPr>
          <w:ilvl w:val="0"/>
          <w:numId w:val="4"/>
        </w:numPr>
        <w:tabs>
          <w:tab w:val="clear" w:pos="720"/>
          <w:tab w:val="left" w:pos="700" w:leader="none"/>
        </w:tabs>
        <w:ind w:hanging="700" w:start="700" w:end="0"/>
        <w:jc w:val="both"/>
        <w:rPr>
          <w:sz w:val="24"/>
          <w:lang w:eastAsia="ja-JP"/>
        </w:rPr>
      </w:pPr>
      <w:r>
        <w:rPr>
          <w:sz w:val="24"/>
          <w:lang w:eastAsia="ja-JP"/>
        </w:rPr>
        <w:t>Japanese corporate and other taxation</w:t>
      </w:r>
    </w:p>
    <w:p>
      <w:pPr>
        <w:pStyle w:val="Normal"/>
        <w:numPr>
          <w:ilvl w:val="0"/>
          <w:numId w:val="4"/>
        </w:numPr>
        <w:tabs>
          <w:tab w:val="clear" w:pos="720"/>
          <w:tab w:val="left" w:pos="700" w:leader="none"/>
        </w:tabs>
        <w:ind w:hanging="700" w:start="700" w:end="0"/>
        <w:jc w:val="both"/>
        <w:rPr>
          <w:sz w:val="24"/>
          <w:lang w:eastAsia="ja-JP"/>
        </w:rPr>
      </w:pPr>
      <w:r>
        <w:rPr>
          <w:sz w:val="24"/>
          <w:lang w:eastAsia="ja-JP"/>
        </w:rPr>
        <w:t>Consumption tax</w:t>
      </w:r>
    </w:p>
    <w:p>
      <w:pPr>
        <w:pStyle w:val="Normal"/>
        <w:jc w:val="both"/>
        <w:rPr>
          <w:sz w:val="24"/>
          <w:lang w:eastAsia="ja-JP"/>
        </w:rPr>
      </w:pPr>
      <w:r>
        <w:rPr>
          <w:sz w:val="24"/>
          <w:lang w:eastAsia="ja-JP"/>
        </w:rPr>
      </w:r>
    </w:p>
    <w:p>
      <w:pPr>
        <w:pStyle w:val="Normal"/>
        <w:jc w:val="both"/>
        <w:rPr/>
      </w:pPr>
      <w:r>
        <w:rPr>
          <w:sz w:val="24"/>
          <w:lang w:eastAsia="ja-JP"/>
        </w:rPr>
        <w:t xml:space="preserve">For delivery CIP, the delivery point will be outside Japan, so it is clear that ECT will not be the importer and the above </w:t>
      </w:r>
      <w:r>
        <w:rPr>
          <w:sz w:val="24"/>
          <w:lang w:eastAsia="ja-JP"/>
        </w:rPr>
        <w:t>ramifications</w:t>
      </w:r>
      <w:r>
        <w:rPr>
          <w:sz w:val="24"/>
          <w:lang w:eastAsia="ja-JP"/>
        </w:rPr>
        <w:t xml:space="preserve"> should not arise.</w:t>
      </w:r>
    </w:p>
    <w:p>
      <w:pPr>
        <w:pStyle w:val="Normal"/>
        <w:jc w:val="both"/>
        <w:rPr>
          <w:sz w:val="24"/>
          <w:lang w:eastAsia="ja-JP"/>
        </w:rPr>
      </w:pPr>
      <w:r>
        <w:rPr>
          <w:sz w:val="24"/>
          <w:lang w:eastAsia="ja-JP"/>
        </w:rPr>
      </w:r>
    </w:p>
    <w:p>
      <w:pPr>
        <w:pStyle w:val="Normal"/>
        <w:jc w:val="both"/>
        <w:rPr/>
      </w:pPr>
      <w:r>
        <w:rPr>
          <w:sz w:val="24"/>
          <w:lang w:eastAsia="ja-JP"/>
        </w:rPr>
        <w:t>It is possible that rather than delivery, title will be the determining factor.  Clause 5.2 provides that title is to pass on payment which is to be on the Payment Date specified in the website, against presentation of the specified documents.  We do not know what Enron</w:t>
      </w:r>
      <w:r>
        <w:rPr>
          <w:sz w:val="24"/>
          <w:lang w:eastAsia="ja-JP"/>
        </w:rPr>
        <w:t>’</w:t>
      </w:r>
      <w:r>
        <w:rPr>
          <w:sz w:val="24"/>
          <w:lang w:eastAsia="ja-JP"/>
        </w:rPr>
        <w:t xml:space="preserve">s </w:t>
      </w:r>
      <w:r>
        <w:rPr>
          <w:sz w:val="24"/>
          <w:lang w:eastAsia="ja-JP"/>
        </w:rPr>
        <w:t>practice</w:t>
      </w:r>
      <w:r>
        <w:rPr>
          <w:sz w:val="24"/>
          <w:lang w:eastAsia="ja-JP"/>
        </w:rPr>
        <w:t xml:space="preserve"> will be in terms of setting the Payment Date.  If it is to be immediately after presentation of documents, it should be possible to ensure that title passes before arrival in Japan.  However, if credit is extended, or the Buyer does not pay, ECT (if Seller) could be the importer.</w:t>
      </w:r>
    </w:p>
    <w:p>
      <w:pPr>
        <w:pStyle w:val="Normal"/>
        <w:jc w:val="both"/>
        <w:rPr>
          <w:sz w:val="24"/>
          <w:lang w:eastAsia="ja-JP"/>
        </w:rPr>
      </w:pPr>
      <w:r>
        <w:rPr>
          <w:sz w:val="24"/>
          <w:lang w:eastAsia="ja-JP"/>
        </w:rPr>
      </w:r>
    </w:p>
    <w:p>
      <w:pPr>
        <w:pStyle w:val="Normal"/>
        <w:jc w:val="both"/>
        <w:rPr>
          <w:sz w:val="24"/>
          <w:lang w:eastAsia="ja-JP"/>
        </w:rPr>
      </w:pPr>
      <w:r>
        <w:rPr>
          <w:sz w:val="24"/>
          <w:lang w:eastAsia="ja-JP"/>
        </w:rPr>
        <w:t>The opposite considerations will apply if ECT is the Buyer.</w:t>
      </w:r>
    </w:p>
    <w:p>
      <w:pPr>
        <w:pStyle w:val="Normal"/>
        <w:jc w:val="both"/>
        <w:rPr>
          <w:sz w:val="24"/>
          <w:lang w:eastAsia="ja-JP"/>
        </w:rPr>
      </w:pPr>
      <w:r>
        <w:rPr>
          <w:sz w:val="24"/>
          <w:lang w:eastAsia="ja-JP"/>
        </w:rPr>
      </w:r>
    </w:p>
    <w:p>
      <w:pPr>
        <w:pStyle w:val="Normal"/>
        <w:jc w:val="both"/>
        <w:rPr>
          <w:sz w:val="24"/>
          <w:lang w:eastAsia="ja-JP"/>
        </w:rPr>
      </w:pPr>
      <w:r>
        <w:rPr>
          <w:sz w:val="24"/>
          <w:lang w:eastAsia="ja-JP"/>
        </w:rPr>
        <w:t>Since this area of law is complex, we defer further consideration of the implications until hearing from you as to which of the above factual situations is more likely to apply.</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Taxation Issues</w:t>
      </w:r>
    </w:p>
    <w:p>
      <w:pPr>
        <w:pStyle w:val="Normal"/>
        <w:jc w:val="both"/>
        <w:rPr>
          <w:sz w:val="24"/>
          <w:u w:val="single"/>
          <w:lang w:eastAsia="ja-JP"/>
        </w:rPr>
      </w:pPr>
      <w:r>
        <w:rPr>
          <w:sz w:val="24"/>
          <w:u w:val="single"/>
          <w:lang w:eastAsia="ja-JP"/>
        </w:rPr>
      </w:r>
    </w:p>
    <w:p>
      <w:pPr>
        <w:pStyle w:val="WPW"/>
        <w:widowControl/>
        <w:rPr/>
      </w:pPr>
      <w:r>
        <w:rPr>
          <w:lang w:eastAsia="ja-JP"/>
        </w:rPr>
        <w:t>Our t</w:t>
      </w:r>
      <w:r>
        <w:rPr>
          <w:lang w:eastAsia="ja-JP"/>
        </w:rPr>
        <w:t xml:space="preserve">ax team </w:t>
      </w:r>
      <w:r>
        <w:rPr>
          <w:lang w:eastAsia="ja-JP"/>
        </w:rPr>
        <w:t>is</w:t>
      </w:r>
      <w:r>
        <w:rPr>
          <w:lang w:eastAsia="ja-JP"/>
        </w:rPr>
        <w:t xml:space="preserve"> review</w:t>
      </w:r>
      <w:r>
        <w:rPr>
          <w:lang w:eastAsia="ja-JP"/>
        </w:rPr>
        <w:t>ing from the tax viewpoint</w:t>
      </w:r>
      <w:r>
        <w:rPr>
          <w:lang w:eastAsia="ja-JP"/>
        </w:rPr>
        <w:t>.</w:t>
      </w:r>
    </w:p>
    <w:p>
      <w:pPr>
        <w:pStyle w:val="WPW"/>
        <w:widowControl/>
        <w:rPr>
          <w:lang w:eastAsia="ja-JP"/>
        </w:rPr>
      </w:pPr>
      <w:r>
        <w:rPr>
          <w:lang w:eastAsia="ja-JP"/>
        </w:rPr>
      </w:r>
    </w:p>
    <w:p>
      <w:pPr>
        <w:pStyle w:val="WPW"/>
        <w:widowControl/>
        <w:rPr/>
      </w:pPr>
      <w:r>
        <w:rPr>
          <w:lang w:eastAsia="ja-JP"/>
        </w:rPr>
        <w:t>We have advised on the need to ensure that the activities of EJ in support of the Enron</w:t>
      </w:r>
      <w:r>
        <w:rPr>
          <w:lang w:eastAsia="ja-JP"/>
        </w:rPr>
        <w:t>’</w:t>
      </w:r>
      <w:r>
        <w:rPr>
          <w:lang w:eastAsia="ja-JP"/>
        </w:rPr>
        <w:t>s transactions in Japan do not constitute a permanent establishments.</w:t>
      </w:r>
    </w:p>
    <w:p>
      <w:pPr>
        <w:pStyle w:val="WPW"/>
        <w:widowControl/>
        <w:rPr>
          <w:lang w:eastAsia="ja-JP"/>
        </w:rPr>
      </w:pPr>
      <w:r>
        <w:rPr>
          <w:lang w:eastAsia="ja-JP"/>
        </w:rPr>
      </w:r>
    </w:p>
    <w:p>
      <w:pPr>
        <w:pStyle w:val="Normal"/>
        <w:jc w:val="both"/>
        <w:rPr/>
      </w:pPr>
      <w:r>
        <w:rPr>
          <w:sz w:val="24"/>
          <w:lang w:eastAsia="ja-JP"/>
        </w:rPr>
        <w:t>Japan imposes consumption tax (VAT) on the impor</w:t>
      </w:r>
      <w:r>
        <w:rPr>
          <w:sz w:val="24"/>
          <w:lang w:eastAsia="ja-JP"/>
        </w:rPr>
        <w:t>t</w:t>
      </w:r>
      <w:r>
        <w:rPr>
          <w:sz w:val="24"/>
          <w:lang w:eastAsia="ja-JP"/>
        </w:rPr>
        <w:t>ation of tangible goods and on domestic transfers of tangible goods.</w:t>
      </w:r>
    </w:p>
    <w:p>
      <w:pPr>
        <w:pStyle w:val="Normal"/>
        <w:jc w:val="both"/>
        <w:rPr>
          <w:sz w:val="24"/>
          <w:lang w:eastAsia="ja-JP"/>
        </w:rPr>
      </w:pPr>
      <w:r>
        <w:rPr>
          <w:sz w:val="24"/>
          <w:lang w:eastAsia="ja-JP"/>
        </w:rPr>
      </w:r>
    </w:p>
    <w:p>
      <w:pPr>
        <w:pStyle w:val="Normal"/>
        <w:jc w:val="both"/>
        <w:rPr/>
      </w:pPr>
      <w:r>
        <w:rPr>
          <w:sz w:val="24"/>
          <w:lang w:eastAsia="ja-JP"/>
        </w:rPr>
        <w:t>Accordingly, our advice has been that it is preferable for ownership of the commodity to pass outside Japan to a Japan based customer. (Refer our advice of May 11, 2000).  Otherwise, the Enron entity that sells to Japan will be required to register as a tax payer for consumption tax purposes, pay consumption tax upon the import and file consumption tax returns.</w:t>
      </w:r>
      <w:r>
        <w:rPr>
          <w:sz w:val="24"/>
          <w:lang w:eastAsia="ja-JP"/>
        </w:rPr>
        <w:t xml:space="preserve">   In principle it should be possible for a foreign company to do this without creating a permanent establishment in Japan for corporate tax purposes.  However </w:t>
      </w:r>
      <w:r>
        <w:rPr>
          <w:sz w:val="24"/>
          <w:lang w:eastAsia="ja-JP"/>
        </w:rPr>
        <w:t xml:space="preserve">some of our clients </w:t>
      </w:r>
      <w:r>
        <w:rPr>
          <w:sz w:val="24"/>
          <w:lang w:eastAsia="ja-JP"/>
        </w:rPr>
        <w:t xml:space="preserve">in other industries </w:t>
      </w:r>
      <w:r>
        <w:rPr>
          <w:sz w:val="24"/>
          <w:lang w:eastAsia="ja-JP"/>
        </w:rPr>
        <w:t xml:space="preserve">have encountered </w:t>
      </w:r>
      <w:r>
        <w:rPr>
          <w:sz w:val="24"/>
          <w:lang w:eastAsia="ja-JP"/>
        </w:rPr>
        <w:t>resistance from Customs officers to this approach</w:t>
      </w:r>
      <w:r>
        <w:rPr>
          <w:sz w:val="24"/>
          <w:lang w:eastAsia="ja-JP"/>
        </w:rPr>
        <w:t>.  Therefore, it may be necessary to use EJ for this purpose.</w:t>
      </w:r>
    </w:p>
    <w:p>
      <w:pPr>
        <w:pStyle w:val="Normal"/>
        <w:jc w:val="both"/>
        <w:rPr>
          <w:sz w:val="24"/>
          <w:lang w:eastAsia="ja-JP"/>
        </w:rPr>
      </w:pPr>
      <w:r>
        <w:rPr>
          <w:sz w:val="24"/>
          <w:lang w:eastAsia="ja-JP"/>
        </w:rPr>
      </w:r>
    </w:p>
    <w:p>
      <w:pPr>
        <w:pStyle w:val="Normal"/>
        <w:jc w:val="both"/>
        <w:rPr>
          <w:sz w:val="24"/>
          <w:lang w:eastAsia="ja-JP"/>
        </w:rPr>
      </w:pPr>
      <w:r>
        <w:rPr>
          <w:sz w:val="24"/>
          <w:lang w:eastAsia="ja-JP"/>
        </w:rPr>
        <w:t>Once the transaction is moved on-shore, EJM will be subject to normal national and local level tax including corporation tax, enterprise tax and inhabitance tax on its net profits from its business activities, including the contemplated transactions.</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Counterparty Issues</w:t>
      </w:r>
    </w:p>
    <w:p>
      <w:pPr>
        <w:pStyle w:val="Normal"/>
        <w:jc w:val="both"/>
        <w:rPr>
          <w:b/>
          <w:sz w:val="24"/>
          <w:u w:val="single"/>
          <w:lang w:eastAsia="ja-JP"/>
        </w:rPr>
      </w:pPr>
      <w:r>
        <w:rPr>
          <w:b/>
          <w:sz w:val="24"/>
          <w:u w:val="single"/>
          <w:lang w:eastAsia="ja-JP"/>
        </w:rPr>
      </w:r>
    </w:p>
    <w:p>
      <w:pPr>
        <w:pStyle w:val="Date"/>
        <w:rPr/>
      </w:pPr>
      <w:r>
        <w:rPr/>
        <w:t>We have previously advised on the steps necessary to ensure:</w:t>
      </w:r>
    </w:p>
    <w:p>
      <w:pPr>
        <w:pStyle w:val="Normal"/>
        <w:rPr>
          <w:sz w:val="24"/>
          <w:lang w:eastAsia="ja-JP"/>
        </w:rPr>
      </w:pPr>
      <w:r>
        <w:rPr>
          <w:sz w:val="24"/>
          <w:lang w:eastAsia="ja-JP"/>
        </w:rPr>
      </w:r>
    </w:p>
    <w:p>
      <w:pPr>
        <w:pStyle w:val="Normal"/>
        <w:numPr>
          <w:ilvl w:val="0"/>
          <w:numId w:val="2"/>
        </w:numPr>
        <w:rPr>
          <w:sz w:val="24"/>
          <w:lang w:eastAsia="ja-JP"/>
        </w:rPr>
      </w:pPr>
      <w:r>
        <w:rPr>
          <w:sz w:val="24"/>
          <w:lang w:eastAsia="ja-JP"/>
        </w:rPr>
        <w:t>the transaction falls within the counter-party</w:t>
      </w:r>
      <w:r>
        <w:rPr>
          <w:sz w:val="24"/>
          <w:lang w:eastAsia="ja-JP"/>
        </w:rPr>
        <w:t>’</w:t>
      </w:r>
      <w:r>
        <w:rPr>
          <w:sz w:val="24"/>
          <w:lang w:eastAsia="ja-JP"/>
        </w:rPr>
        <w:t>s business purposes, and</w:t>
      </w:r>
    </w:p>
    <w:p>
      <w:pPr>
        <w:pStyle w:val="Normal"/>
        <w:numPr>
          <w:ilvl w:val="0"/>
          <w:numId w:val="2"/>
        </w:numPr>
        <w:rPr>
          <w:sz w:val="24"/>
          <w:lang w:eastAsia="ja-JP"/>
        </w:rPr>
      </w:pPr>
      <w:r>
        <w:rPr>
          <w:sz w:val="24"/>
          <w:lang w:eastAsia="ja-JP"/>
        </w:rPr>
        <w:t>the person executing the transaction is authorized to do so.</w:t>
      </w:r>
    </w:p>
    <w:p>
      <w:pPr>
        <w:pStyle w:val="Normal"/>
        <w:rPr>
          <w:sz w:val="24"/>
          <w:lang w:eastAsia="ja-JP"/>
        </w:rPr>
      </w:pPr>
      <w:r>
        <w:rPr>
          <w:sz w:val="24"/>
          <w:lang w:eastAsia="ja-JP"/>
        </w:rPr>
      </w:r>
    </w:p>
    <w:p>
      <w:pPr>
        <w:pStyle w:val="Normal"/>
        <w:numPr>
          <w:ilvl w:val="0"/>
          <w:numId w:val="7"/>
        </w:numPr>
        <w:jc w:val="both"/>
        <w:rPr>
          <w:b/>
          <w:sz w:val="24"/>
          <w:lang w:eastAsia="ja-JP"/>
        </w:rPr>
      </w:pPr>
      <w:r>
        <w:rPr>
          <w:b/>
          <w:sz w:val="24"/>
          <w:lang w:eastAsia="ja-JP"/>
        </w:rPr>
        <w:t>Trading Metal Derivative Products</w:t>
      </w:r>
    </w:p>
    <w:p>
      <w:pPr>
        <w:pStyle w:val="Normal"/>
        <w:jc w:val="both"/>
        <w:rPr>
          <w:b/>
          <w:sz w:val="24"/>
          <w:lang w:eastAsia="ja-JP"/>
        </w:rPr>
      </w:pPr>
      <w:r>
        <w:rPr>
          <w:b/>
          <w:sz w:val="24"/>
          <w:lang w:eastAsia="ja-JP"/>
        </w:rPr>
      </w:r>
    </w:p>
    <w:p>
      <w:pPr>
        <w:pStyle w:val="WPW"/>
        <w:widowControl/>
        <w:rPr>
          <w:lang w:eastAsia="ja-JP"/>
        </w:rPr>
      </w:pPr>
      <w:r>
        <w:rPr>
          <w:lang w:eastAsia="ja-JP"/>
        </w:rPr>
        <w:t>We note that we have not yet reviewed the aluminum derivatives documents.</w:t>
      </w:r>
    </w:p>
    <w:p>
      <w:pPr>
        <w:pStyle w:val="Normal"/>
        <w:jc w:val="both"/>
        <w:rPr>
          <w:b/>
          <w:sz w:val="24"/>
          <w:lang w:eastAsia="ja-JP"/>
        </w:rPr>
      </w:pPr>
      <w:r>
        <w:rPr>
          <w:b/>
          <w:sz w:val="24"/>
          <w:lang w:eastAsia="ja-JP"/>
        </w:rPr>
      </w:r>
    </w:p>
    <w:p>
      <w:pPr>
        <w:pStyle w:val="WPW"/>
        <w:widowControl/>
        <w:rPr>
          <w:lang w:eastAsia="ja-JP"/>
        </w:rPr>
      </w:pPr>
      <w:r>
        <w:rPr>
          <w:lang w:eastAsia="ja-JP"/>
        </w:rPr>
        <w:t>The regulatory analysis is similar to that set out above for physical deliveries, except:</w:t>
      </w:r>
    </w:p>
    <w:p>
      <w:pPr>
        <w:pStyle w:val="Normal"/>
        <w:jc w:val="both"/>
        <w:rPr>
          <w:sz w:val="24"/>
          <w:lang w:eastAsia="ja-JP"/>
        </w:rPr>
      </w:pPr>
      <w:r>
        <w:rPr>
          <w:sz w:val="24"/>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The CEL provisions are more geared towards financial transactions and therefore more likely to apply, and</w:t>
      </w:r>
    </w:p>
    <w:p>
      <w:pPr>
        <w:pStyle w:val="WPW"/>
        <w:widowControl/>
        <w:rPr>
          <w:rFonts w:eastAsia="Times New Roman"/>
          <w:lang w:eastAsia="ja-JP"/>
        </w:rPr>
      </w:pPr>
      <w:r>
        <w:rPr>
          <w:rFonts w:eastAsia="Times New Roman"/>
          <w:lang w:eastAsia="ja-JP"/>
        </w:rPr>
        <w:t xml:space="preserve"> </w:t>
      </w:r>
    </w:p>
    <w:p>
      <w:pPr>
        <w:pStyle w:val="WPW"/>
        <w:widowControl/>
        <w:numPr>
          <w:ilvl w:val="0"/>
          <w:numId w:val="6"/>
        </w:numPr>
        <w:tabs>
          <w:tab w:val="clear" w:pos="720"/>
          <w:tab w:val="left" w:pos="700" w:leader="none"/>
        </w:tabs>
        <w:ind w:hanging="700" w:start="700" w:end="0"/>
        <w:rPr>
          <w:lang w:eastAsia="ja-JP"/>
        </w:rPr>
      </w:pPr>
      <w:r>
        <w:rPr>
          <w:lang w:eastAsia="ja-JP"/>
        </w:rPr>
        <w:t>There is a greater risk of the transaction being held to be in the nature of gambling.</w:t>
      </w:r>
    </w:p>
    <w:p>
      <w:pPr>
        <w:pStyle w:val="WPW"/>
        <w:widowControl/>
        <w:rPr>
          <w:lang w:eastAsia="ja-JP"/>
        </w:rPr>
      </w:pPr>
      <w:r>
        <w:rPr>
          <w:lang w:eastAsia="ja-JP"/>
        </w:rPr>
      </w:r>
    </w:p>
    <w:p>
      <w:pPr>
        <w:pStyle w:val="WPW"/>
        <w:widowControl/>
        <w:rPr>
          <w:lang w:eastAsia="ja-JP"/>
        </w:rPr>
      </w:pPr>
      <w:r>
        <w:rPr>
          <w:lang w:eastAsia="ja-JP"/>
        </w:rPr>
        <w:t>More specifically, adopting the same framework as in 2. above, the analysis would be as follows:</w:t>
      </w:r>
    </w:p>
    <w:p>
      <w:pPr>
        <w:pStyle w:val="WPW"/>
        <w:widowControl/>
        <w:rPr>
          <w:lang w:eastAsia="ja-JP"/>
        </w:rPr>
      </w:pPr>
      <w:r>
        <w:rPr>
          <w:lang w:eastAsia="ja-JP"/>
        </w:rPr>
      </w:r>
    </w:p>
    <w:tbl>
      <w:tblPr>
        <w:tblW w:w="8505" w:type="dxa"/>
        <w:jc w:val="start"/>
        <w:tblInd w:w="0" w:type="dxa"/>
        <w:tblLayout w:type="fixed"/>
        <w:tblCellMar>
          <w:top w:w="0" w:type="dxa"/>
          <w:start w:w="99" w:type="dxa"/>
          <w:bottom w:w="0" w:type="dxa"/>
          <w:end w:w="99" w:type="dxa"/>
        </w:tblCellMar>
      </w:tblPr>
      <w:tblGrid>
        <w:gridCol w:w="1299"/>
        <w:gridCol w:w="3100"/>
        <w:gridCol w:w="4106"/>
      </w:tblGrid>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145</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Prohibits transactions based on prices quoted on the commodities market and based on differences in value or similar to futures.</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so long as not based on Japanese market prices.</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145-5</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Requires notice to MITI for futures transactions regarding certain listed commodities (including </w:t>
            </w:r>
            <w:r>
              <w:rPr>
                <w:sz w:val="24"/>
                <w:lang w:eastAsia="ja-JP"/>
              </w:rPr>
              <w:t>aluminum</w:t>
            </w:r>
            <w:r>
              <w:rPr>
                <w:sz w:val="24"/>
                <w:lang w:eastAsia="ja-JP"/>
              </w:rPr>
              <w:t>).</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so long as not based on Japanese market prices.</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126</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Requires MITI permission engage in brokerage transactions.</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since we understand Enron acts as principal in its transactions and not as broker.</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8</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Prohibits establishment of a facility for transactions similar to futures with respect to commodities (which term includes </w:t>
            </w:r>
            <w:r>
              <w:rPr>
                <w:sz w:val="24"/>
                <w:lang w:eastAsia="ja-JP"/>
              </w:rPr>
              <w:t>aluminum</w:t>
            </w:r>
            <w:r>
              <w:rPr>
                <w:sz w:val="24"/>
                <w:lang w:eastAsia="ja-JP"/>
              </w:rPr>
              <w:t>).</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Potentially applicable. </w:t>
            </w:r>
            <w:r>
              <w:rPr>
                <w:sz w:val="24"/>
                <w:lang w:eastAsia="ja-JP"/>
              </w:rPr>
              <w:t xml:space="preserve">Possible defenses include: (1) </w:t>
            </w:r>
            <w:r>
              <w:rPr>
                <w:sz w:val="24"/>
                <w:lang w:eastAsia="ja-JP"/>
              </w:rPr>
              <w:t xml:space="preserve">bilateral trades do not constitute a </w:t>
            </w:r>
            <w:r>
              <w:rPr>
                <w:sz w:val="24"/>
                <w:lang w:eastAsia="ja-JP"/>
              </w:rPr>
              <w:t>“</w:t>
            </w:r>
            <w:r>
              <w:rPr>
                <w:sz w:val="24"/>
                <w:lang w:eastAsia="ja-JP"/>
              </w:rPr>
              <w:t>facility</w:t>
            </w:r>
            <w:r>
              <w:rPr>
                <w:sz w:val="24"/>
                <w:lang w:eastAsia="ja-JP"/>
              </w:rPr>
              <w:t>”</w:t>
            </w:r>
            <w:r>
              <w:rPr>
                <w:sz w:val="24"/>
                <w:lang w:eastAsia="ja-JP"/>
              </w:rPr>
              <w:t>, (</w:t>
            </w:r>
            <w:r>
              <w:rPr>
                <w:sz w:val="24"/>
                <w:lang w:eastAsia="ja-JP"/>
              </w:rPr>
              <w:t>2</w:t>
            </w:r>
            <w:r>
              <w:rPr>
                <w:sz w:val="24"/>
                <w:lang w:eastAsia="ja-JP"/>
              </w:rPr>
              <w:t xml:space="preserve">) the facility is not </w:t>
            </w:r>
            <w:r>
              <w:rPr>
                <w:sz w:val="24"/>
                <w:u w:val="single"/>
                <w:lang w:eastAsia="ja-JP"/>
              </w:rPr>
              <w:t>in Japan</w:t>
            </w:r>
            <w:r>
              <w:rPr>
                <w:sz w:val="24"/>
                <w:u w:val="single"/>
                <w:lang w:eastAsia="ja-JP"/>
              </w:rPr>
              <w:t xml:space="preserve">.  </w:t>
            </w:r>
            <w:r>
              <w:rPr>
                <w:sz w:val="24"/>
                <w:lang w:eastAsia="ja-JP"/>
              </w:rPr>
              <w:t>See notes below.</w:t>
            </w:r>
          </w:p>
        </w:tc>
      </w:tr>
    </w:tbl>
    <w:p>
      <w:pPr>
        <w:pStyle w:val="Normal"/>
        <w:jc w:val="both"/>
        <w:rPr>
          <w:b/>
          <w:sz w:val="24"/>
          <w:lang w:eastAsia="ja-JP"/>
        </w:rPr>
      </w:pPr>
      <w:r>
        <w:rPr>
          <w:b/>
          <w:sz w:val="24"/>
          <w:lang w:eastAsia="ja-JP"/>
        </w:rPr>
      </w:r>
    </w:p>
    <w:p>
      <w:pPr>
        <w:pStyle w:val="Normal"/>
        <w:jc w:val="both"/>
        <w:rPr/>
      </w:pPr>
      <w:r>
        <w:rPr>
          <w:b/>
          <w:sz w:val="24"/>
          <w:lang w:eastAsia="ja-JP"/>
        </w:rPr>
        <w:t>Notes</w:t>
      </w:r>
      <w:r>
        <w:rPr>
          <w:b/>
          <w:sz w:val="24"/>
          <w:lang w:eastAsia="ja-JP"/>
        </w:rPr>
        <w:t xml:space="preserve"> on CEL 8</w:t>
      </w:r>
      <w:r>
        <w:rPr>
          <w:b/>
          <w:sz w:val="24"/>
          <w:lang w:eastAsia="ja-JP"/>
        </w:rPr>
        <w:t>:</w:t>
      </w:r>
    </w:p>
    <w:p>
      <w:pPr>
        <w:pStyle w:val="Normal"/>
        <w:jc w:val="both"/>
        <w:rPr>
          <w:b/>
          <w:sz w:val="24"/>
          <w:lang w:eastAsia="ja-JP"/>
        </w:rPr>
      </w:pPr>
      <w:r>
        <w:rPr>
          <w:b/>
          <w:sz w:val="24"/>
          <w:lang w:eastAsia="ja-JP"/>
        </w:rPr>
      </w:r>
    </w:p>
    <w:p>
      <w:pPr>
        <w:pStyle w:val="Normal"/>
        <w:jc w:val="both"/>
        <w:rPr/>
      </w:pPr>
      <w:r>
        <w:rPr>
          <w:sz w:val="24"/>
          <w:lang w:eastAsia="ja-JP"/>
        </w:rPr>
        <w:t xml:space="preserve">There is little guidance available on what constitutes a </w:t>
      </w:r>
      <w:r>
        <w:rPr>
          <w:sz w:val="24"/>
          <w:lang w:eastAsia="ja-JP"/>
        </w:rPr>
        <w:t>“</w:t>
      </w:r>
      <w:r>
        <w:rPr>
          <w:sz w:val="24"/>
          <w:lang w:eastAsia="ja-JP"/>
        </w:rPr>
        <w:t>facility</w:t>
      </w:r>
      <w:r>
        <w:rPr>
          <w:sz w:val="24"/>
          <w:lang w:eastAsia="ja-JP"/>
        </w:rPr>
        <w:t>”</w:t>
      </w:r>
      <w:r>
        <w:rPr>
          <w:sz w:val="24"/>
          <w:lang w:eastAsia="ja-JP"/>
        </w:rPr>
        <w:t>.  Relevant factors could include:</w:t>
      </w:r>
    </w:p>
    <w:p>
      <w:pPr>
        <w:pStyle w:val="Normal"/>
        <w:jc w:val="both"/>
        <w:rPr>
          <w:sz w:val="24"/>
          <w:lang w:eastAsia="ja-JP"/>
        </w:rPr>
      </w:pPr>
      <w:r>
        <w:rPr>
          <w:sz w:val="24"/>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 xml:space="preserve">That the mere conduct of a series of bilateral trades does not constitute a facility </w:t>
      </w:r>
      <w:r>
        <w:rPr>
          <w:lang w:eastAsia="ja-JP"/>
        </w:rPr>
        <w:t>(</w:t>
      </w:r>
      <w:r>
        <w:rPr>
          <w:lang w:eastAsia="ja-JP"/>
        </w:rPr>
        <w:t xml:space="preserve">we referred in our advice of 14 January 2000 (page 9) to the fact that an official from MITI agreed that bilateral trades should not constitute a </w:t>
      </w:r>
      <w:r>
        <w:rPr>
          <w:lang w:eastAsia="ja-JP"/>
        </w:rPr>
        <w:t>“</w:t>
      </w:r>
      <w:r>
        <w:rPr>
          <w:lang w:eastAsia="ja-JP"/>
        </w:rPr>
        <w:t>facility</w:t>
      </w:r>
      <w:r>
        <w:rPr>
          <w:lang w:eastAsia="ja-JP"/>
        </w:rPr>
        <w:t>”)</w:t>
      </w:r>
      <w:r>
        <w:rPr>
          <w:lang w:eastAsia="ja-JP"/>
        </w:rPr>
        <w:t>.</w:t>
      </w:r>
    </w:p>
    <w:p>
      <w:pPr>
        <w:pStyle w:val="WPW"/>
        <w:widowControl/>
        <w:rPr>
          <w:rFonts w:eastAsia="Times New Roman"/>
          <w:lang w:eastAsia="ja-JP"/>
        </w:rPr>
      </w:pPr>
      <w:r>
        <w:rPr>
          <w:rFonts w:eastAsia="Times New Roman"/>
          <w:lang w:eastAsia="ja-JP"/>
        </w:rPr>
        <w:t xml:space="preserve"> </w:t>
      </w:r>
    </w:p>
    <w:p>
      <w:pPr>
        <w:pStyle w:val="WPW"/>
        <w:widowControl/>
        <w:numPr>
          <w:ilvl w:val="0"/>
          <w:numId w:val="6"/>
        </w:numPr>
        <w:tabs>
          <w:tab w:val="clear" w:pos="720"/>
          <w:tab w:val="left" w:pos="700" w:leader="none"/>
        </w:tabs>
        <w:ind w:hanging="700" w:start="700" w:end="0"/>
        <w:rPr>
          <w:lang w:eastAsia="ja-JP"/>
        </w:rPr>
      </w:pPr>
      <w:r>
        <w:rPr>
          <w:lang w:eastAsia="ja-JP"/>
        </w:rPr>
        <w:t>B</w:t>
      </w:r>
      <w:r>
        <w:rPr>
          <w:lang w:eastAsia="ja-JP"/>
        </w:rPr>
        <w:t>asically</w:t>
      </w:r>
      <w:r>
        <w:rPr>
          <w:lang w:eastAsia="ja-JP"/>
        </w:rPr>
        <w:t>,</w:t>
      </w:r>
      <w:r>
        <w:rPr>
          <w:lang w:eastAsia="ja-JP"/>
        </w:rPr>
        <w:t xml:space="preserve"> so long as the server is located outside Japan, the CEL should not apply.  However, the more Japanese content is included on the site, the site is marketed specifically to Japanese investors, Enron Japan is involved in the transactions, or the product is actively marketed in Japan, the more likely </w:t>
      </w:r>
      <w:r>
        <w:rPr>
          <w:lang w:eastAsia="ja-JP"/>
        </w:rPr>
        <w:t xml:space="preserve">it is that the </w:t>
      </w:r>
      <w:r>
        <w:rPr>
          <w:lang w:eastAsia="ja-JP"/>
        </w:rPr>
        <w:t xml:space="preserve">regulators </w:t>
      </w:r>
      <w:r>
        <w:rPr>
          <w:lang w:eastAsia="ja-JP"/>
        </w:rPr>
        <w:t xml:space="preserve">will attempt </w:t>
      </w:r>
      <w:r>
        <w:rPr>
          <w:lang w:eastAsia="ja-JP"/>
        </w:rPr>
        <w:t>to intervene and claim that a facility exists in Japan.</w:t>
      </w:r>
    </w:p>
    <w:p>
      <w:pPr>
        <w:pStyle w:val="WPW"/>
        <w:widowControl/>
        <w:rPr>
          <w:lang w:eastAsia="ja-JP"/>
        </w:rPr>
      </w:pPr>
      <w:r>
        <w:rPr>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In contrast to normal commodities facilities and exchanges, where what is being traded is in effect a standard contract, here each transaction will be subject of separate agreement between the parties.</w:t>
      </w:r>
    </w:p>
    <w:p>
      <w:pPr>
        <w:pStyle w:val="WPW"/>
        <w:widowControl/>
        <w:rPr>
          <w:lang w:eastAsia="ja-JP"/>
        </w:rPr>
      </w:pPr>
      <w:r>
        <w:rPr>
          <w:lang w:eastAsia="ja-JP"/>
        </w:rPr>
      </w:r>
    </w:p>
    <w:p>
      <w:pPr>
        <w:pStyle w:val="WPW"/>
        <w:widowControl/>
        <w:numPr>
          <w:ilvl w:val="0"/>
          <w:numId w:val="3"/>
        </w:numPr>
        <w:tabs>
          <w:tab w:val="clear" w:pos="720"/>
          <w:tab w:val="left" w:pos="709" w:leader="none"/>
        </w:tabs>
        <w:ind w:hanging="709" w:start="709" w:end="0"/>
        <w:rPr>
          <w:lang w:eastAsia="ja-JP"/>
        </w:rPr>
      </w:pPr>
      <w:r>
        <w:rPr>
          <w:lang w:eastAsia="ja-JP"/>
        </w:rPr>
        <w:t>By way of contrast, in regulating other areas, such as insurance, securities and deposit taking, the legislation expressly covers activities in Japan by foreign companies.</w:t>
      </w:r>
    </w:p>
    <w:p>
      <w:pPr>
        <w:pStyle w:val="WPW"/>
        <w:widowControl/>
        <w:rPr>
          <w:rFonts w:eastAsia="Times New Roman"/>
          <w:lang w:eastAsia="ja-JP"/>
        </w:rPr>
      </w:pPr>
      <w:r>
        <w:rPr>
          <w:rFonts w:eastAsia="Times New Roman"/>
          <w:lang w:eastAsia="ja-JP"/>
        </w:rPr>
        <w:t xml:space="preserve"> </w:t>
      </w:r>
    </w:p>
    <w:p>
      <w:pPr>
        <w:pStyle w:val="WPW"/>
        <w:widowControl/>
        <w:rPr>
          <w:lang w:eastAsia="ja-JP"/>
        </w:rPr>
      </w:pPr>
      <w:r>
        <w:rPr>
          <w:lang w:eastAsia="ja-JP"/>
        </w:rPr>
        <w:t>We referred in our previous advice (June 19, 2000) to the new Financial Service Law which is to come into effect on April 1, 2000, and the need to assess the impact of the law when the relevant Cabinet orders are released.</w:t>
      </w:r>
    </w:p>
    <w:p>
      <w:pPr>
        <w:pStyle w:val="WPW"/>
        <w:widowControl/>
        <w:rPr>
          <w:lang w:eastAsia="ja-JP"/>
        </w:rPr>
      </w:pPr>
      <w:r>
        <w:rPr>
          <w:lang w:eastAsia="ja-JP"/>
        </w:rPr>
      </w:r>
    </w:p>
    <w:p>
      <w:pPr>
        <w:pStyle w:val="WPW"/>
        <w:widowControl/>
        <w:rPr>
          <w:u w:val="single"/>
          <w:lang w:eastAsia="ja-JP"/>
        </w:rPr>
      </w:pPr>
      <w:r>
        <w:rPr>
          <w:u w:val="single"/>
          <w:lang w:eastAsia="ja-JP"/>
        </w:rPr>
        <w:t>If Activities Conducted by EJ</w:t>
      </w:r>
    </w:p>
    <w:p>
      <w:pPr>
        <w:pStyle w:val="WPW"/>
        <w:widowControl/>
        <w:rPr>
          <w:u w:val="single"/>
          <w:lang w:eastAsia="ja-JP"/>
        </w:rPr>
      </w:pPr>
      <w:r>
        <w:rPr>
          <w:u w:val="single"/>
          <w:lang w:eastAsia="ja-JP"/>
        </w:rPr>
      </w:r>
    </w:p>
    <w:p>
      <w:pPr>
        <w:pStyle w:val="WPW"/>
        <w:widowControl/>
        <w:rPr/>
      </w:pPr>
      <w:r>
        <w:rPr>
          <w:lang w:eastAsia="ja-JP"/>
        </w:rPr>
        <w:t>The risks of the regulators taking action, and of ECT being found to have a facility in Japan, are significantly increased.  The “bilateral trades” argument becomes the principal defense</w:t>
      </w:r>
      <w:r>
        <w:rPr>
          <w:lang w:eastAsia="ja-JP"/>
        </w:rPr>
        <w:t>.</w:t>
      </w:r>
    </w:p>
    <w:p>
      <w:pPr>
        <w:pStyle w:val="WPW"/>
        <w:widowControl/>
        <w:rPr>
          <w:lang w:eastAsia="ja-JP"/>
        </w:rPr>
      </w:pPr>
      <w:r>
        <w:rPr>
          <w:lang w:eastAsia="ja-JP"/>
        </w:rPr>
      </w:r>
    </w:p>
    <w:p>
      <w:pPr>
        <w:pStyle w:val="Heading2"/>
        <w:ind w:hanging="0" w:start="0"/>
        <w:rPr>
          <w:u w:val="single"/>
          <w:lang w:eastAsia="ja-JP"/>
        </w:rPr>
      </w:pPr>
      <w:r>
        <w:rPr>
          <w:u w:val="single"/>
          <w:lang w:eastAsia="ja-JP"/>
        </w:rPr>
        <w:t>Gambling Issues</w:t>
      </w:r>
    </w:p>
    <w:p>
      <w:pPr>
        <w:pStyle w:val="Normal"/>
        <w:jc w:val="both"/>
        <w:rPr>
          <w:sz w:val="24"/>
          <w:u w:val="single"/>
          <w:lang w:eastAsia="ja-JP"/>
        </w:rPr>
      </w:pPr>
      <w:r>
        <w:rPr>
          <w:sz w:val="24"/>
          <w:u w:val="single"/>
          <w:lang w:eastAsia="ja-JP"/>
        </w:rPr>
      </w:r>
    </w:p>
    <w:p>
      <w:pPr>
        <w:pStyle w:val="WPW"/>
        <w:widowControl/>
        <w:rPr>
          <w:lang w:eastAsia="ja-JP"/>
        </w:rPr>
      </w:pPr>
      <w:r>
        <w:rPr>
          <w:lang w:eastAsia="ja-JP"/>
        </w:rPr>
        <w:t>We refer to our advice of July 7, 2000 which addressed both weather and oil derivatives.</w:t>
      </w:r>
    </w:p>
    <w:p>
      <w:pPr>
        <w:pStyle w:val="Normal"/>
        <w:jc w:val="both"/>
        <w:rPr>
          <w:sz w:val="24"/>
          <w:lang w:eastAsia="ja-JP"/>
        </w:rPr>
      </w:pPr>
      <w:r>
        <w:rPr>
          <w:sz w:val="24"/>
          <w:lang w:eastAsia="ja-JP"/>
        </w:rPr>
      </w:r>
    </w:p>
    <w:p>
      <w:pPr>
        <w:pStyle w:val="Normal"/>
        <w:jc w:val="both"/>
        <w:rPr>
          <w:sz w:val="24"/>
          <w:lang w:eastAsia="ja-JP"/>
        </w:rPr>
      </w:pPr>
      <w:r>
        <w:rPr>
          <w:sz w:val="24"/>
          <w:lang w:eastAsia="ja-JP"/>
        </w:rPr>
        <w:t>As set out in that advice, it is likely that the Japanese court would conclude that a derivatives contract would constitute a gambling contract.  Therefore, the relevant issue for Enron is whether the defenses set out in our advice will apply.</w:t>
      </w:r>
    </w:p>
    <w:p>
      <w:pPr>
        <w:pStyle w:val="Normal"/>
        <w:jc w:val="both"/>
        <w:rPr>
          <w:sz w:val="24"/>
          <w:lang w:eastAsia="ja-JP"/>
        </w:rPr>
      </w:pPr>
      <w:r>
        <w:rPr>
          <w:sz w:val="24"/>
          <w:lang w:eastAsia="ja-JP"/>
        </w:rPr>
      </w:r>
    </w:p>
    <w:p>
      <w:pPr>
        <w:pStyle w:val="Normal"/>
        <w:jc w:val="both"/>
        <w:rPr/>
      </w:pPr>
      <w:r>
        <w:rPr>
          <w:sz w:val="24"/>
          <w:lang w:eastAsia="ja-JP"/>
        </w:rPr>
        <w:t xml:space="preserve">In that respect, the key issue will be whether both the Enron entity and the counter-party are engaging in the transaction for </w:t>
      </w:r>
      <w:r>
        <w:rPr>
          <w:sz w:val="24"/>
          <w:lang w:eastAsia="ja-JP"/>
        </w:rPr>
        <w:t>legitimate</w:t>
      </w:r>
      <w:r>
        <w:rPr>
          <w:sz w:val="24"/>
          <w:lang w:eastAsia="ja-JP"/>
        </w:rPr>
        <w:t xml:space="preserve"> business purposes.</w:t>
      </w:r>
    </w:p>
    <w:p>
      <w:pPr>
        <w:pStyle w:val="Normal"/>
        <w:jc w:val="both"/>
        <w:rPr>
          <w:sz w:val="24"/>
          <w:lang w:eastAsia="ja-JP"/>
        </w:rPr>
      </w:pPr>
      <w:r>
        <w:rPr>
          <w:sz w:val="24"/>
          <w:lang w:eastAsia="ja-JP"/>
        </w:rPr>
      </w:r>
    </w:p>
    <w:p>
      <w:pPr>
        <w:pStyle w:val="Normal"/>
        <w:jc w:val="both"/>
        <w:rPr>
          <w:sz w:val="24"/>
          <w:lang w:eastAsia="ja-JP"/>
        </w:rPr>
      </w:pPr>
      <w:r>
        <w:rPr>
          <w:sz w:val="24"/>
          <w:lang w:eastAsia="ja-JP"/>
        </w:rPr>
        <w:t>So far as the counter-party is concerned, the fact that a market for a physical product underlies aluminum derivatives, should expose these transactions to less risk than weather derivatives.</w:t>
      </w:r>
    </w:p>
    <w:p>
      <w:pPr>
        <w:pStyle w:val="Normal"/>
        <w:jc w:val="both"/>
        <w:rPr>
          <w:sz w:val="24"/>
          <w:lang w:eastAsia="ja-JP"/>
        </w:rPr>
      </w:pPr>
      <w:r>
        <w:rPr>
          <w:sz w:val="24"/>
          <w:lang w:eastAsia="ja-JP"/>
        </w:rPr>
      </w:r>
    </w:p>
    <w:p>
      <w:pPr>
        <w:pStyle w:val="Normal"/>
        <w:jc w:val="both"/>
        <w:rPr>
          <w:sz w:val="24"/>
          <w:lang w:eastAsia="ja-JP"/>
        </w:rPr>
      </w:pPr>
      <w:r>
        <w:rPr>
          <w:sz w:val="24"/>
          <w:lang w:eastAsia="ja-JP"/>
        </w:rPr>
        <w:t>The other factors mentioned in our previous advice, and the various measures we suggested that Enron take in terms of:</w:t>
      </w:r>
    </w:p>
    <w:p>
      <w:pPr>
        <w:pStyle w:val="Normal"/>
        <w:jc w:val="both"/>
        <w:rPr>
          <w:sz w:val="24"/>
          <w:lang w:eastAsia="ja-JP"/>
        </w:rPr>
      </w:pPr>
      <w:r>
        <w:rPr>
          <w:sz w:val="24"/>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vetting counterparties,</w:t>
      </w:r>
    </w:p>
    <w:p>
      <w:pPr>
        <w:pStyle w:val="WPW"/>
        <w:widowControl/>
        <w:rPr>
          <w:rFonts w:eastAsia="Times New Roman"/>
          <w:lang w:eastAsia="ja-JP"/>
        </w:rPr>
      </w:pPr>
      <w:r>
        <w:rPr>
          <w:rFonts w:eastAsia="Times New Roman"/>
          <w:lang w:eastAsia="ja-JP"/>
        </w:rPr>
        <w:t xml:space="preserve"> </w:t>
      </w:r>
    </w:p>
    <w:p>
      <w:pPr>
        <w:pStyle w:val="WPW"/>
        <w:widowControl/>
        <w:numPr>
          <w:ilvl w:val="0"/>
          <w:numId w:val="6"/>
        </w:numPr>
        <w:tabs>
          <w:tab w:val="clear" w:pos="720"/>
          <w:tab w:val="left" w:pos="700" w:leader="none"/>
        </w:tabs>
        <w:ind w:hanging="700" w:start="700" w:end="0"/>
        <w:rPr>
          <w:lang w:eastAsia="ja-JP"/>
        </w:rPr>
      </w:pPr>
      <w:r>
        <w:rPr>
          <w:lang w:eastAsia="ja-JP"/>
        </w:rPr>
        <w:t>ensuring the counterparties understand the product,</w:t>
      </w:r>
    </w:p>
    <w:p>
      <w:pPr>
        <w:pStyle w:val="WPW"/>
        <w:widowControl/>
        <w:rPr>
          <w:lang w:eastAsia="ja-JP"/>
        </w:rPr>
      </w:pPr>
      <w:r>
        <w:rPr>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putting in place internal procedures to ensure Enron</w:t>
      </w:r>
      <w:r>
        <w:rPr>
          <w:lang w:eastAsia="ja-JP"/>
        </w:rPr>
        <w:t>’</w:t>
      </w:r>
      <w:r>
        <w:rPr>
          <w:lang w:eastAsia="ja-JP"/>
        </w:rPr>
        <w:t>s rules are properly observed and documented, and</w:t>
      </w:r>
    </w:p>
    <w:p>
      <w:pPr>
        <w:pStyle w:val="WPW"/>
        <w:widowControl/>
        <w:rPr>
          <w:lang w:eastAsia="ja-JP"/>
        </w:rPr>
      </w:pPr>
      <w:r>
        <w:rPr>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Seeking appropriate representations from the counter-party,</w:t>
      </w:r>
    </w:p>
    <w:p>
      <w:pPr>
        <w:pStyle w:val="WPW"/>
        <w:widowControl/>
        <w:rPr>
          <w:lang w:eastAsia="ja-JP"/>
        </w:rPr>
      </w:pPr>
      <w:r>
        <w:rPr>
          <w:lang w:eastAsia="ja-JP"/>
        </w:rPr>
      </w:r>
    </w:p>
    <w:p>
      <w:pPr>
        <w:pStyle w:val="WPW"/>
        <w:widowControl/>
        <w:rPr>
          <w:lang w:eastAsia="ja-JP"/>
        </w:rPr>
      </w:pPr>
      <w:r>
        <w:rPr>
          <w:lang w:eastAsia="ja-JP"/>
        </w:rPr>
        <w:t>will assist in reducing the level of risk.</w:t>
      </w:r>
    </w:p>
    <w:p>
      <w:pPr>
        <w:pStyle w:val="WPW"/>
        <w:widowControl/>
        <w:rPr>
          <w:lang w:eastAsia="ja-JP"/>
        </w:rPr>
      </w:pPr>
      <w:r>
        <w:rPr>
          <w:lang w:eastAsia="ja-JP"/>
        </w:rPr>
      </w:r>
    </w:p>
    <w:p>
      <w:pPr>
        <w:pStyle w:val="WPW"/>
        <w:widowControl/>
        <w:rPr>
          <w:u w:val="single"/>
          <w:lang w:eastAsia="ja-JP"/>
        </w:rPr>
      </w:pPr>
      <w:r>
        <w:rPr>
          <w:u w:val="single"/>
          <w:lang w:eastAsia="ja-JP"/>
        </w:rPr>
        <w:t>Counter-party Issues</w:t>
      </w:r>
    </w:p>
    <w:p>
      <w:pPr>
        <w:pStyle w:val="WPW"/>
        <w:widowControl/>
        <w:rPr>
          <w:u w:val="single"/>
          <w:lang w:eastAsia="ja-JP"/>
        </w:rPr>
      </w:pPr>
      <w:r>
        <w:rPr>
          <w:u w:val="single"/>
          <w:lang w:eastAsia="ja-JP"/>
        </w:rPr>
      </w:r>
    </w:p>
    <w:p>
      <w:pPr>
        <w:pStyle w:val="WPW"/>
        <w:widowControl/>
        <w:rPr/>
      </w:pPr>
      <w:r>
        <w:rPr>
          <w:lang w:eastAsia="ja-JP"/>
        </w:rPr>
        <w:t xml:space="preserve">Because of </w:t>
      </w:r>
      <w:r>
        <w:rPr>
          <w:lang w:eastAsia="ja-JP"/>
        </w:rPr>
        <w:t>the</w:t>
      </w:r>
      <w:r>
        <w:rPr>
          <w:lang w:eastAsia="ja-JP"/>
        </w:rPr>
        <w:t xml:space="preserve"> increased risk of the transactions being found to be gambling, in addition to the counter-party issues outlined in 2. above, the checking procedure will need to enable Enron to form a view on whether the counter-party is likely to have a legitimate business interest in entering the transaction, and consideration should be given to whether a covering letter in Japanese explaining the transaction and the risks should be sent to the counter-party.</w:t>
      </w:r>
    </w:p>
    <w:p>
      <w:pPr>
        <w:pStyle w:val="WPW"/>
        <w:widowControl/>
        <w:rPr>
          <w:lang w:eastAsia="ja-JP"/>
        </w:rPr>
      </w:pPr>
      <w:r>
        <w:rPr>
          <w:lang w:eastAsia="ja-JP"/>
        </w:rPr>
      </w:r>
    </w:p>
    <w:p>
      <w:pPr>
        <w:pStyle w:val="WPW"/>
        <w:widowControl/>
        <w:rPr>
          <w:u w:val="single"/>
          <w:lang w:eastAsia="ja-JP"/>
        </w:rPr>
      </w:pPr>
      <w:r>
        <w:rPr>
          <w:u w:val="single"/>
          <w:lang w:eastAsia="ja-JP"/>
        </w:rPr>
        <w:t>Other Matters</w:t>
      </w:r>
    </w:p>
    <w:p>
      <w:pPr>
        <w:pStyle w:val="WPW"/>
        <w:widowControl/>
        <w:rPr>
          <w:u w:val="single"/>
          <w:lang w:eastAsia="ja-JP"/>
        </w:rPr>
      </w:pPr>
      <w:r>
        <w:rPr>
          <w:u w:val="single"/>
          <w:lang w:eastAsia="ja-JP"/>
        </w:rPr>
      </w:r>
    </w:p>
    <w:p>
      <w:pPr>
        <w:pStyle w:val="WPW"/>
        <w:widowControl/>
        <w:rPr>
          <w:lang w:eastAsia="ja-JP"/>
        </w:rPr>
      </w:pPr>
      <w:r>
        <w:rPr>
          <w:lang w:eastAsia="ja-JP"/>
        </w:rPr>
        <w:t>Our advice in 2. above in relation to foreign investment, and FEFTL reports still applies.</w:t>
      </w:r>
    </w:p>
    <w:p>
      <w:pPr>
        <w:pStyle w:val="WPW"/>
        <w:widowControl/>
        <w:rPr>
          <w:lang w:eastAsia="ja-JP"/>
        </w:rPr>
      </w:pPr>
      <w:r>
        <w:rPr>
          <w:lang w:eastAsia="ja-JP"/>
        </w:rPr>
      </w:r>
    </w:p>
    <w:p>
      <w:pPr>
        <w:pStyle w:val="WPW"/>
        <w:widowControl/>
        <w:rPr>
          <w:lang w:eastAsia="ja-JP"/>
        </w:rPr>
      </w:pPr>
      <w:r>
        <w:rPr>
          <w:lang w:eastAsia="ja-JP"/>
        </w:rPr>
        <w:t>Since there is no physical delivery, our advice on import restrictions and customs/import procedures is not applicable.</w:t>
      </w:r>
    </w:p>
    <w:p>
      <w:pPr>
        <w:pStyle w:val="WPW"/>
        <w:widowControl/>
        <w:rPr>
          <w:lang w:eastAsia="ja-JP"/>
        </w:rPr>
      </w:pPr>
      <w:r>
        <w:rPr>
          <w:lang w:eastAsia="ja-JP"/>
        </w:rPr>
      </w:r>
    </w:p>
    <w:p>
      <w:pPr>
        <w:pStyle w:val="WPW"/>
        <w:widowControl/>
        <w:rPr>
          <w:lang w:eastAsia="ja-JP"/>
        </w:rPr>
      </w:pPr>
      <w:r>
        <w:rPr>
          <w:lang w:eastAsia="ja-JP"/>
        </w:rPr>
        <w:t>The Articles of both EJ and EJM include buying, selling and trading in financial products including financial derivative products so no change to those articles would be required.</w:t>
      </w:r>
    </w:p>
    <w:p>
      <w:pPr>
        <w:pStyle w:val="WPW"/>
        <w:widowControl/>
        <w:rPr>
          <w:lang w:eastAsia="ja-JP"/>
        </w:rPr>
      </w:pPr>
      <w:r>
        <w:rPr>
          <w:lang w:eastAsia="ja-JP"/>
        </w:rPr>
      </w:r>
    </w:p>
    <w:p>
      <w:pPr>
        <w:pStyle w:val="WPW"/>
        <w:widowControl/>
        <w:rPr>
          <w:u w:val="single"/>
          <w:lang w:eastAsia="ja-JP"/>
        </w:rPr>
      </w:pPr>
      <w:r>
        <w:rPr>
          <w:u w:val="single"/>
          <w:lang w:eastAsia="ja-JP"/>
        </w:rPr>
        <w:t>Taxation</w:t>
      </w:r>
    </w:p>
    <w:p>
      <w:pPr>
        <w:pStyle w:val="Date"/>
        <w:rPr>
          <w:rFonts w:ascii="Times New Roman" w:hAnsi="Times New Roman" w:cs="Times New Roman"/>
          <w:u w:val="single"/>
          <w:lang w:eastAsia="ja-JP"/>
        </w:rPr>
      </w:pPr>
      <w:r>
        <w:rPr>
          <w:rFonts w:cs="Times New Roman" w:ascii="Times New Roman" w:hAnsi="Times New Roman"/>
          <w:u w:val="single"/>
          <w:lang w:eastAsia="ja-JP"/>
        </w:rPr>
      </w:r>
    </w:p>
    <w:p>
      <w:pPr>
        <w:pStyle w:val="WPW"/>
        <w:widowControl/>
        <w:rPr/>
      </w:pPr>
      <w:r>
        <w:rPr>
          <w:lang w:eastAsia="ja-JP"/>
        </w:rPr>
        <w:t>Our tax team will review but b</w:t>
      </w:r>
      <w:r>
        <w:rPr>
          <w:lang w:eastAsia="ja-JP"/>
        </w:rPr>
        <w:t>asically we would expect the same considerations to apply as are set out in our advices of May 11, 2000 and June 30, 2000 addressed to Susan Musch.  In other words, a payment pursuant to a derivative transaction should not attract Japanese withholding tax unless such transaction is successfully asserted by the tax authorities to be a loan in substance.</w:t>
      </w:r>
    </w:p>
    <w:p>
      <w:pPr>
        <w:pStyle w:val="Normal"/>
        <w:jc w:val="both"/>
        <w:rPr>
          <w:sz w:val="24"/>
          <w:lang w:eastAsia="ja-JP"/>
        </w:rPr>
      </w:pPr>
      <w:r>
        <w:rPr>
          <w:sz w:val="24"/>
          <w:lang w:eastAsia="ja-JP"/>
        </w:rPr>
      </w:r>
    </w:p>
    <w:p>
      <w:pPr>
        <w:pStyle w:val="Normal"/>
        <w:jc w:val="both"/>
        <w:rPr>
          <w:sz w:val="24"/>
          <w:lang w:eastAsia="ja-JP"/>
        </w:rPr>
      </w:pPr>
      <w:r>
        <w:rPr>
          <w:sz w:val="24"/>
          <w:lang w:eastAsia="ja-JP"/>
        </w:rPr>
        <w:t>Cash settled derivatives transactions should be considered financial transactions for consumption tax (VAT) purposes, and therefore out of scope (non-chargeable) for consumption tax purposes.</w:t>
      </w:r>
    </w:p>
    <w:p>
      <w:pPr>
        <w:pStyle w:val="Normal"/>
        <w:jc w:val="both"/>
        <w:rPr>
          <w:sz w:val="24"/>
          <w:lang w:eastAsia="ja-JP"/>
        </w:rPr>
      </w:pPr>
      <w:r>
        <w:rPr>
          <w:sz w:val="24"/>
          <w:lang w:eastAsia="ja-JP"/>
        </w:rPr>
      </w:r>
    </w:p>
    <w:p>
      <w:pPr>
        <w:pStyle w:val="Normal"/>
        <w:jc w:val="both"/>
        <w:rPr>
          <w:sz w:val="24"/>
          <w:lang w:eastAsia="ja-JP"/>
        </w:rPr>
      </w:pPr>
      <w:r>
        <w:rPr>
          <w:sz w:val="24"/>
          <w:lang w:eastAsia="ja-JP"/>
        </w:rPr>
        <w:t>The following lawyers participated in preparation of this advice: Paul Davis, Jeremy Pitts, Shinji Toyohara, Toshio Sasaki.</w:t>
      </w:r>
    </w:p>
    <w:sectPr>
      <w:footerReference w:type="default" r:id="rId2"/>
      <w:footerReference w:type="first" r:id="rId3"/>
      <w:type w:val="nextPage"/>
      <w:pgSz w:w="11906" w:h="16838"/>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i/>
        <w:i/>
        <w:sz w:val="16"/>
      </w:rPr>
    </w:pPr>
    <w:r>
      <w:rPr>
        <w:i/>
        <w:sz w:val="16"/>
      </w:rPr>
      <w:fldChar w:fldCharType="begin"/>
    </w:r>
    <w:r>
      <w:rPr>
        <w:sz w:val="16"/>
        <w:i/>
      </w:rPr>
      <w:instrText xml:space="preserve"> FILENAME \p </w:instrText>
    </w:r>
    <w:r>
      <w:rPr>
        <w:sz w:val="16"/>
        <w:i/>
      </w:rPr>
      <w:fldChar w:fldCharType="separate"/>
    </w:r>
    <w:r>
      <w:rPr>
        <w:sz w:val="16"/>
        <w:i/>
      </w:rPr>
      <w:t>/mnt/main-storage/datasets/enron-docs/doc/EnronMemo27_b.doc</w:t>
    </w:r>
    <w:r>
      <w:rPr>
        <w:sz w:val="16"/>
        <w:i/>
      </w:rPr>
      <w:fldChar w:fldCharType="end"/>
    </w:r>
    <w:r>
      <w:rPr>
        <w:i/>
        <w:sz w:val="16"/>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14.1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i/>
        <w:i/>
        <w:sz w:val="16"/>
      </w:rPr>
    </w:pPr>
    <w:r>
      <w:rPr>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i/>
        <w:i/>
        <w:sz w:val="16"/>
      </w:rPr>
    </w:pPr>
    <w:r>
      <w:rPr>
        <w:i/>
        <w:sz w:val="16"/>
      </w:rPr>
      <w:fldChar w:fldCharType="begin"/>
    </w:r>
    <w:r>
      <w:rPr>
        <w:sz w:val="16"/>
        <w:i/>
      </w:rPr>
      <w:instrText xml:space="preserve"> FILENAME \p </w:instrText>
    </w:r>
    <w:r>
      <w:rPr>
        <w:sz w:val="16"/>
        <w:i/>
      </w:rPr>
      <w:fldChar w:fldCharType="separate"/>
    </w:r>
    <w:r>
      <w:rPr>
        <w:sz w:val="16"/>
        <w:i/>
      </w:rPr>
      <w:t>/mnt/main-storage/datasets/enron-docs/doc/EnronMemo27_b.doc</w:t>
    </w:r>
    <w:r>
      <w:rPr>
        <w:sz w:val="16"/>
        <w:i/>
      </w:rPr>
      <w:fldChar w:fldCharType="end"/>
    </w:r>
    <w:r>
      <w:rPr>
        <w:i/>
        <w:sz w:val="16"/>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rPr>
        <w:i/>
        <w:i/>
        <w:sz w:val="16"/>
      </w:rPr>
    </w:pPr>
    <w:r>
      <w:rPr>
        <w:i/>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40" w:hanging="340"/>
      </w:pPr>
      <w:rPr>
        <w:rFonts w:ascii="Symbol" w:hAnsi="Symbol" w:cs="Symbol" w:hint="default"/>
      </w:rPr>
    </w:lvl>
  </w:abstractNum>
  <w:abstractNum w:abstractNumId="5">
    <w:lvl w:ilvl="0">
      <w:start w:val="1"/>
      <w:numFmt w:val="lowerRoman"/>
      <w:lvlText w:val="(%1)"/>
      <w:lvlJc w:val="start"/>
      <w:pPr>
        <w:tabs>
          <w:tab w:val="num" w:pos="720"/>
        </w:tabs>
        <w:ind w:start="720" w:hanging="720"/>
      </w:pPr>
      <w:rPr/>
    </w:lvl>
  </w:abstractNum>
  <w:abstractNum w:abstractNumId="6">
    <w:lvl w:ilvl="0">
      <w:numFmt w:val="bullet"/>
      <w:lvlText w:val=""/>
      <w:lvlJc w:val="start"/>
      <w:pPr>
        <w:tabs>
          <w:tab w:val="num" w:pos="360"/>
        </w:tabs>
        <w:ind w:start="340" w:hanging="340"/>
      </w:pPr>
      <w:rPr>
        <w:rFonts w:ascii="Symbol" w:hAnsi="Symbol" w:cs="Symbol" w:hint="default"/>
      </w:rPr>
    </w:lvl>
  </w:abstractNum>
  <w:abstractNum w:abstractNumId="7">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u w:val="single"/>
      <w:lang w:val="en-AU"/>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outlineLvl w:val="2"/>
    </w:pPr>
    <w:rPr>
      <w:rFonts w:eastAsia="ＭＳ 明朝"/>
      <w:i/>
      <w:sz w:val="22"/>
    </w:rPr>
  </w:style>
  <w:style w:type="paragraph" w:styleId="Heading4">
    <w:name w:val="heading 4"/>
    <w:basedOn w:val="Normal"/>
    <w:next w:val="NormalIndent"/>
    <w:qFormat/>
    <w:pPr>
      <w:keepNext w:val="true"/>
      <w:widowControl w:val="false"/>
      <w:numPr>
        <w:ilvl w:val="3"/>
        <w:numId w:val="1"/>
      </w:numPr>
      <w:autoSpaceDE w:val="false"/>
      <w:jc w:val="both"/>
      <w:outlineLvl w:val="3"/>
    </w:pPr>
    <w:rPr>
      <w:rFonts w:ascii="Arial" w:hAnsi="Arial" w:eastAsia="ＭＳ 明朝" w:cs="Arial"/>
      <w:b/>
      <w:color w:val="0000FF"/>
      <w:sz w:val="22"/>
      <w:lang w:eastAsia="ja-JP"/>
    </w:rPr>
  </w:style>
  <w:style w:type="paragraph" w:styleId="Heading5">
    <w:name w:val="heading 5"/>
    <w:basedOn w:val="Normal"/>
    <w:next w:val="NormalIndent"/>
    <w:qFormat/>
    <w:pPr>
      <w:keepNext w:val="true"/>
      <w:numPr>
        <w:ilvl w:val="4"/>
        <w:numId w:val="1"/>
      </w:numPr>
      <w:jc w:val="both"/>
      <w:outlineLvl w:val="4"/>
    </w:pPr>
    <w:rPr>
      <w:rFonts w:ascii="Arial" w:hAnsi="Arial" w:eastAsia="ＭＳ 明朝" w:cs="Arial"/>
      <w:b/>
      <w:sz w:val="22"/>
      <w:lang w:eastAsia="ja-JP"/>
    </w:rPr>
  </w:style>
  <w:style w:type="paragraph" w:styleId="Heading6">
    <w:name w:val="heading 6"/>
    <w:basedOn w:val="Normal"/>
    <w:next w:val="NormalIndent"/>
    <w:qFormat/>
    <w:pPr>
      <w:keepNext w:val="true"/>
      <w:numPr>
        <w:ilvl w:val="5"/>
        <w:numId w:val="1"/>
      </w:numPr>
      <w:jc w:val="both"/>
      <w:outlineLvl w:val="5"/>
    </w:pPr>
    <w:rPr>
      <w:rFonts w:ascii="Arial" w:hAnsi="Arial" w:eastAsia="ＭＳ 明朝" w:cs="Arial"/>
      <w:b/>
      <w:sz w:val="22"/>
      <w:u w:val="single"/>
      <w:lang w:eastAsia="ja-JP"/>
    </w:rPr>
  </w:style>
  <w:style w:type="paragraph" w:styleId="Heading7">
    <w:name w:val="heading 7"/>
    <w:basedOn w:val="Normal"/>
    <w:next w:val="Normal"/>
    <w:qFormat/>
    <w:pPr>
      <w:keepNext w:val="true"/>
      <w:numPr>
        <w:ilvl w:val="6"/>
        <w:numId w:val="1"/>
      </w:numPr>
      <w:outlineLvl w:val="6"/>
    </w:pPr>
    <w:rPr>
      <w:rFonts w:eastAsia="ＭＳ 明朝"/>
      <w:sz w:val="24"/>
    </w:rPr>
  </w:style>
  <w:style w:type="paragraph" w:styleId="Heading8">
    <w:name w:val="heading 8"/>
    <w:basedOn w:val="Normal"/>
    <w:next w:val="Normal"/>
    <w:qFormat/>
    <w:pPr>
      <w:keepNext w:val="true"/>
      <w:numPr>
        <w:ilvl w:val="7"/>
        <w:numId w:val="1"/>
      </w:numPr>
      <w:ind w:firstLine="720" w:start="360" w:end="0"/>
      <w:jc w:val="both"/>
      <w:outlineLvl w:val="7"/>
    </w:pPr>
    <w:rPr>
      <w:i/>
      <w:sz w:val="24"/>
    </w:rPr>
  </w:style>
  <w:style w:type="paragraph" w:styleId="Heading9">
    <w:name w:val="heading 9"/>
    <w:basedOn w:val="Normal"/>
    <w:next w:val="Normal"/>
    <w:qFormat/>
    <w:pPr>
      <w:keepNext w:val="true"/>
      <w:numPr>
        <w:ilvl w:val="8"/>
        <w:numId w:val="1"/>
      </w:numPr>
      <w:outlineLvl w:val="8"/>
    </w:pPr>
    <w:rPr>
      <w:i/>
      <w:sz w:val="24"/>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caps w:val="false"/>
      <w:smallCaps w:val="false"/>
      <w:strike w:val="false"/>
      <w:dstrike w:val="false"/>
      <w:shadow w:val="false"/>
      <w:vanish w:val="false"/>
      <w:color w:val="auto"/>
      <w:position w:val="0"/>
      <w:sz w:val="24"/>
      <w:vertAlign w:val="baseline"/>
    </w:rPr>
  </w:style>
  <w:style w:type="character" w:styleId="WW8Num57z0">
    <w:name w:val="WW8Num57z0"/>
    <w:qFormat/>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sz w:val="12"/>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u w:val="none"/>
    </w:rPr>
  </w:style>
  <w:style w:type="character" w:styleId="WW8Num77z0">
    <w:name w:val="WW8Num77z0"/>
    <w:qFormat/>
    <w:rPr/>
  </w:style>
  <w:style w:type="character" w:styleId="WW8Num78z0">
    <w:name w:val="WW8Num78z0"/>
    <w:qFormat/>
    <w:rPr/>
  </w:style>
  <w:style w:type="character" w:styleId="WW8Num79z0">
    <w:name w:val="WW8Num79z0"/>
    <w:qFormat/>
    <w:rPr>
      <w:rFonts w:ascii="Wingdings" w:hAnsi="Wingdings" w:eastAsia="ＭＳ 明朝" w:cs="Wingdings"/>
    </w:rPr>
  </w:style>
  <w:style w:type="character" w:styleId="WW8Num80z0">
    <w:name w:val="WW8Num80z0"/>
    <w:qFormat/>
    <w:rPr>
      <w:rFonts w:ascii="Wingdings" w:hAnsi="Wingdings" w:cs="Wingdings"/>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rFonts w:eastAsia="ＭＳ 明朝"/>
      <w:b/>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b w:val="false"/>
    </w:rPr>
  </w:style>
  <w:style w:type="character" w:styleId="WW8Num95z0">
    <w:name w:val="WW8Num95z0"/>
    <w:qFormat/>
    <w:rPr>
      <w:rFonts w:ascii="Wingdings" w:hAnsi="Wingdings" w:cs="Wingdings"/>
    </w:rPr>
  </w:style>
  <w:style w:type="character" w:styleId="WW8Num96z0">
    <w:name w:val="WW8Num96z0"/>
    <w:qFormat/>
    <w:rPr/>
  </w:style>
  <w:style w:type="character" w:styleId="WW8Num97z0">
    <w:name w:val="WW8Num97z0"/>
    <w:qFormat/>
    <w:rPr/>
  </w:style>
  <w:style w:type="character" w:styleId="WW8Num98z0">
    <w:name w:val="WW8Num98z0"/>
    <w:qFormat/>
    <w:rPr>
      <w:u w:val="none"/>
    </w:rPr>
  </w:style>
  <w:style w:type="character" w:styleId="WW8Num99z0">
    <w:name w:val="WW8Num99z0"/>
    <w:qFormat/>
    <w:rPr>
      <w:rFonts w:ascii="Wingdings" w:hAnsi="Wingdings" w:cs="Wingdings"/>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rFonts w:ascii="Wingdings" w:hAnsi="Wingdings" w:cs="Wingdings"/>
      <w:sz w:val="12"/>
    </w:rPr>
  </w:style>
  <w:style w:type="character" w:styleId="WW8Num113z0">
    <w:name w:val="WW8Num113z0"/>
    <w:qFormat/>
    <w:rPr/>
  </w:style>
  <w:style w:type="character" w:styleId="WW8Num114z0">
    <w:name w:val="WW8Num114z0"/>
    <w:qFormat/>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u w:val="none"/>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Wingdings" w:hAnsi="Wingdings" w:cs="Wingdings"/>
    </w:rPr>
  </w:style>
  <w:style w:type="character" w:styleId="WW8Num130z0">
    <w:name w:val="WW8Num130z0"/>
    <w:qFormat/>
    <w:rPr/>
  </w:style>
  <w:style w:type="character" w:styleId="WW8Num131z0">
    <w:name w:val="WW8Num131z0"/>
    <w:qFormat/>
    <w:rPr>
      <w:rFonts w:ascii="Wingdings" w:hAnsi="Wingdings" w:cs="Wingdings"/>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rFonts w:ascii="Wingdings" w:hAnsi="Wingdings" w:cs="Wingdings"/>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u w:val="none"/>
    </w:rPr>
  </w:style>
  <w:style w:type="character" w:styleId="WW8Num151z0">
    <w:name w:val="WW8Num151z0"/>
    <w:qFormat/>
    <w:rPr>
      <w:rFonts w:ascii="Symbol" w:hAnsi="Symbol" w:cs="Symbol"/>
      <w:color w:val="auto"/>
    </w:rPr>
  </w:style>
  <w:style w:type="character" w:styleId="WW8Num152z0">
    <w:name w:val="WW8Num152z0"/>
    <w:qFormat/>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style>
  <w:style w:type="character" w:styleId="WW8Num156z0">
    <w:name w:val="WW8Num156z0"/>
    <w:qFormat/>
    <w:rPr>
      <w:b/>
      <w:u w:val="single"/>
    </w:rPr>
  </w:style>
  <w:style w:type="character" w:styleId="WW8Num157z0">
    <w:name w:val="WW8Num157z0"/>
    <w:qFormat/>
    <w:rPr>
      <w:rFonts w:ascii="Wingdings" w:hAnsi="Wingdings" w:cs="Wingdings"/>
      <w:sz w:val="12"/>
    </w:rPr>
  </w:style>
  <w:style w:type="character" w:styleId="WW8Num158z0">
    <w:name w:val="WW8Num158z0"/>
    <w:qFormat/>
    <w:rPr>
      <w:b/>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64z0">
    <w:name w:val="WW8Num164z0"/>
    <w:qFormat/>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u w:val="none"/>
    </w:rPr>
  </w:style>
  <w:style w:type="character" w:styleId="WW8Num168z0">
    <w:name w:val="WW8Num168z0"/>
    <w:qFormat/>
    <w:rPr>
      <w:rFonts w:ascii="Symbol" w:hAnsi="Symbol" w:cs="Symbol"/>
    </w:rPr>
  </w:style>
  <w:style w:type="character" w:styleId="WW8Num169z0">
    <w:name w:val="WW8Num169z0"/>
    <w:qFormat/>
    <w:rPr>
      <w:rFonts w:ascii="Wingdings" w:hAnsi="Wingdings" w:cs="Wingdings"/>
    </w:rPr>
  </w:style>
  <w:style w:type="character" w:styleId="WW8Num170z0">
    <w:name w:val="WW8Num170z0"/>
    <w:qFormat/>
    <w:rPr/>
  </w:style>
  <w:style w:type="character" w:styleId="WW8Num171z0">
    <w:name w:val="WW8Num171z0"/>
    <w:qFormat/>
    <w:rPr/>
  </w:style>
  <w:style w:type="character" w:styleId="WW8Num172z0">
    <w:name w:val="WW8Num172z0"/>
    <w:qFormat/>
    <w:rPr>
      <w:rFonts w:ascii="Wingdings" w:hAnsi="Wingdings" w:cs="Wingdings"/>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rFonts w:ascii="Wingdings" w:hAnsi="Wingdings" w:cs="Wingdings"/>
    </w:rPr>
  </w:style>
  <w:style w:type="character" w:styleId="WW8Num179z0">
    <w:name w:val="WW8Num179z0"/>
    <w:qFormat/>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rFonts w:ascii="Wingdings" w:hAnsi="Wingdings" w:cs="Wingdings"/>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style>
  <w:style w:type="character" w:styleId="WW8Num188z0">
    <w:name w:val="WW8Num188z0"/>
    <w:qFormat/>
    <w:rPr>
      <w:rFonts w:ascii="Wingdings" w:hAnsi="Wingdings" w:cs="Wingdings"/>
      <w:sz w:val="12"/>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style>
  <w:style w:type="character" w:styleId="WW8Num200z0">
    <w:name w:val="WW8Num200z0"/>
    <w:qFormat/>
    <w:rPr/>
  </w:style>
  <w:style w:type="character" w:styleId="WW8Num201z0">
    <w:name w:val="WW8Num201z0"/>
    <w:qFormat/>
    <w:rPr>
      <w:rFonts w:ascii="Wingdings" w:hAnsi="Wingdings" w:cs="Wingdings"/>
    </w:rPr>
  </w:style>
  <w:style w:type="character" w:styleId="WW8Num202z0">
    <w:name w:val="WW8Num202z0"/>
    <w:qFormat/>
    <w:rPr/>
  </w:style>
  <w:style w:type="character" w:styleId="WW8Num203z0">
    <w:name w:val="WW8Num203z0"/>
    <w:qFormat/>
    <w:rPr/>
  </w:style>
  <w:style w:type="character" w:styleId="WW8Num204z0">
    <w:name w:val="WW8Num204z0"/>
    <w:qFormat/>
    <w:rPr>
      <w:rFonts w:ascii="Wingdings" w:hAnsi="Wingdings" w:cs="Wingdings"/>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09z0">
    <w:name w:val="WW8Num209z0"/>
    <w:qFormat/>
    <w:rPr>
      <w:rFonts w:ascii="Symbol" w:hAnsi="Symbol" w:cs="Symbol"/>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Wingdings" w:hAnsi="Wingdings" w:cs="Wingdings"/>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style>
  <w:style w:type="character" w:styleId="WW8Num229z0">
    <w:name w:val="WW8Num229z0"/>
    <w:qFormat/>
    <w:rPr/>
  </w:style>
  <w:style w:type="character" w:styleId="WW8Num230z0">
    <w:name w:val="WW8Num230z0"/>
    <w:qFormat/>
    <w:rPr>
      <w:rFonts w:ascii="Wingdings" w:hAnsi="Wingdings" w:cs="Wingdings"/>
    </w:rPr>
  </w:style>
  <w:style w:type="character" w:styleId="WW8Num231z0">
    <w:name w:val="WW8Num231z0"/>
    <w:qFormat/>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Wingdings" w:hAnsi="Wingdings" w:cs="Wingdings"/>
    </w:rPr>
  </w:style>
  <w:style w:type="character" w:styleId="WW8Num238z0">
    <w:name w:val="WW8Num238z0"/>
    <w:qFormat/>
    <w:rPr>
      <w:rFonts w:ascii="Symbol" w:hAnsi="Symbol" w:cs="Symbol"/>
    </w:rPr>
  </w:style>
  <w:style w:type="character" w:styleId="WW8Num239z0">
    <w:name w:val="WW8Num239z0"/>
    <w:qFormat/>
    <w:rPr/>
  </w:style>
  <w:style w:type="character" w:styleId="WW8Num240z0">
    <w:name w:val="WW8Num240z0"/>
    <w:qFormat/>
    <w:rPr/>
  </w:style>
  <w:style w:type="character" w:styleId="WW8Num241z0">
    <w:name w:val="WW8Num241z0"/>
    <w:qFormat/>
    <w:rPr>
      <w:rFonts w:ascii="Wingdings" w:hAnsi="Wingdings" w:cs="Wingdings"/>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5z0">
    <w:name w:val="WW8Num245z0"/>
    <w:qFormat/>
    <w:rPr>
      <w:rFonts w:ascii="Symbol" w:hAnsi="Symbol" w:cs="Symbol"/>
    </w:rPr>
  </w:style>
  <w:style w:type="character" w:styleId="WW8NumSt34z0">
    <w:name w:val="WW8NumSt34z0"/>
    <w:qFormat/>
    <w:rPr>
      <w:rFonts w:ascii="Symbol" w:hAnsi="Symbol" w:cs="Symbol"/>
    </w:rPr>
  </w:style>
  <w:style w:type="character" w:styleId="WW8NumSt202z0">
    <w:name w:val="WW8NumSt20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eastAsia="Times New Roman" w:cs="Arial"/>
      <w:b/>
      <w:sz w:val="24"/>
    </w:rPr>
  </w:style>
  <w:style w:type="paragraph" w:styleId="BodyText">
    <w:name w:val="Body Text"/>
    <w:basedOn w:val="Normal"/>
    <w:pPr>
      <w:jc w:val="both"/>
    </w:pPr>
    <w:rPr>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851" w:end="0"/>
    </w:pPr>
    <w:rPr>
      <w:rFonts w:eastAsia="ＭＳ 明朝"/>
    </w:rPr>
  </w:style>
  <w:style w:type="paragraph" w:styleId="FootnoteText">
    <w:name w:val="footnote text"/>
    <w:basedOn w:val="Normal"/>
    <w:pPr/>
    <w:rPr>
      <w:lang w:val="en-AU"/>
    </w:rPr>
  </w:style>
  <w:style w:type="paragraph" w:styleId="BodyTextIndent2">
    <w:name w:val="Body Text Indent 2"/>
    <w:basedOn w:val="Normal"/>
    <w:qFormat/>
    <w:pPr>
      <w:ind w:hanging="720" w:start="720" w:end="0"/>
      <w:jc w:val="both"/>
    </w:pPr>
    <w:rPr>
      <w:lang w:val="en-AU"/>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ate">
    <w:name w:val="Date"/>
    <w:basedOn w:val="Normal"/>
    <w:next w:val="Normal"/>
    <w:qFormat/>
    <w:pPr>
      <w:jc w:val="both"/>
    </w:pPr>
    <w:rPr>
      <w:rFonts w:ascii="CG Times (W1);Times New Roman" w:hAnsi="CG Times (W1);Times New Roman" w:eastAsia="ＭＳ 明朝" w:cs="CG Times (W1);Times New Roman"/>
      <w:sz w:val="24"/>
      <w:lang w:eastAsia="ja-JP"/>
    </w:rPr>
  </w:style>
  <w:style w:type="paragraph" w:styleId="BodyText2">
    <w:name w:val="Body Text 2"/>
    <w:basedOn w:val="Normal"/>
    <w:qFormat/>
    <w:pPr>
      <w:spacing w:lineRule="atLeast" w:line="240"/>
      <w:ind w:hanging="0" w:start="0" w:end="-90"/>
      <w:jc w:val="both"/>
    </w:pPr>
    <w:rPr>
      <w:rFonts w:eastAsia="ＭＳ 明朝"/>
      <w:sz w:val="24"/>
      <w:lang w:val="en-AU"/>
    </w:rPr>
  </w:style>
  <w:style w:type="paragraph" w:styleId="BlockText">
    <w:name w:val="Block Text"/>
    <w:basedOn w:val="Normal"/>
    <w:qFormat/>
    <w:pPr>
      <w:spacing w:lineRule="atLeast" w:line="240"/>
      <w:ind w:hanging="1080" w:start="1080" w:end="-90"/>
      <w:jc w:val="both"/>
    </w:pPr>
    <w:rPr>
      <w:rFonts w:eastAsia="ＭＳ 明朝"/>
      <w:sz w:val="24"/>
      <w:lang w:val="en-AU"/>
    </w:rPr>
  </w:style>
  <w:style w:type="paragraph" w:styleId="BodyTextIndent3">
    <w:name w:val="Body Text Indent 3"/>
    <w:basedOn w:val="Normal"/>
    <w:qFormat/>
    <w:pPr>
      <w:ind w:hanging="1080" w:start="1080" w:end="0"/>
      <w:jc w:val="both"/>
    </w:pPr>
    <w:rPr>
      <w:rFonts w:eastAsia="ＭＳ 明朝"/>
      <w:b/>
      <w:sz w:val="24"/>
    </w:rPr>
  </w:style>
  <w:style w:type="paragraph" w:styleId="BodyText3">
    <w:name w:val="Body Text 3"/>
    <w:basedOn w:val="Normal"/>
    <w:qFormat/>
    <w:pPr>
      <w:widowControl w:val="false"/>
      <w:autoSpaceDE w:val="false"/>
      <w:jc w:val="both"/>
    </w:pPr>
    <w:rPr>
      <w:rFonts w:ascii="Arial" w:hAnsi="Arial" w:eastAsia="ＭＳ 明朝" w:cs="Arial"/>
      <w:color w:val="0000FF"/>
      <w:sz w:val="22"/>
      <w:lang w:eastAsia="ja-JP"/>
    </w:rPr>
  </w:style>
  <w:style w:type="paragraph" w:styleId="BodyTextIndent">
    <w:name w:val="Body Text Indent"/>
    <w:basedOn w:val="Normal"/>
    <w:pPr>
      <w:ind w:hanging="0" w:start="720" w:end="0"/>
      <w:jc w:val="both"/>
    </w:pPr>
    <w:rPr>
      <w:rFonts w:eastAsia="ＭＳ 明朝"/>
      <w:lang w:val="en-AU"/>
    </w:rPr>
  </w:style>
  <w:style w:type="paragraph" w:styleId="WPW">
    <w:name w:val="WP_¥WÃ°"/>
    <w:basedOn w:val="Normal"/>
    <w:qFormat/>
    <w:pPr>
      <w:widowControl w:val="false"/>
      <w:jc w:val="both"/>
    </w:pPr>
    <w:rPr>
      <w:sz w:val="24"/>
    </w:rPr>
  </w:style>
  <w:style w:type="paragraph" w:styleId="WPr">
    <w:name w:val="WP_ÜrÕ¸"/>
    <w:qFormat/>
    <w:pPr>
      <w:widowControl w:val="false"/>
      <w:bidi w:val="0"/>
    </w:pPr>
    <w:rPr>
      <w:rFonts w:ascii="Times New Roman" w:hAnsi="Times New Roman" w:eastAsia="ＭＳ 明朝" w:cs="Times New Roman"/>
      <w:color w:val="auto"/>
      <w:sz w:val="24"/>
      <w:szCs w:val="20"/>
      <w:vertAlign w:val="superscript"/>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2000-08-10T04:55:00Z</dcterms:created>
  <dc:creator>TALO B&amp;M</dc:creator>
  <dc:description/>
  <dc:language>en-CA</dc:language>
  <cp:lastModifiedBy>TALO - B&amp;M User</cp:lastModifiedBy>
  <cp:lastPrinted>2000-08-11T19:28:00Z</cp:lastPrinted>
  <dcterms:modified xsi:type="dcterms:W3CDTF">2000-08-11T08:06:00Z</dcterms:modified>
  <cp:revision>9</cp:revision>
  <dc:subject/>
  <dc:title>Index</dc:title>
</cp:coreProperties>
</file>