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ALOMemo"/>
        <w:tabs>
          <w:tab w:val="clear" w:pos="4680"/>
        </w:tabs>
        <w:spacing w:before="20" w:after="0"/>
        <w:ind w:start="1440" w:end="0"/>
        <w:jc w:val="end"/>
        <w:rPr>
          <w:rFonts w:ascii="CG Times" w:hAnsi="CG Times" w:cs="CG Times"/>
          <w:b/>
          <w:smallCaps/>
          <w:sz w:val="24"/>
        </w:rPr>
      </w:pPr>
      <w:r>
        <w:rPr>
          <w:rFonts w:cs="CG Times" w:ascii="CG Times" w:hAnsi="CG Times"/>
          <w:b/>
          <w:smallCaps/>
          <w:sz w:val="24"/>
        </w:rPr>
        <w:t>2 MAY 2000</w:t>
      </w:r>
    </w:p>
    <w:p>
      <w:pPr>
        <w:pStyle w:val="TALOMemo"/>
        <w:tabs>
          <w:tab w:val="clear" w:pos="4680"/>
        </w:tabs>
        <w:spacing w:before="20" w:after="0"/>
        <w:ind w:start="1440" w:end="0"/>
        <w:jc w:val="center"/>
        <w:rPr>
          <w:rFonts w:ascii="CG Times" w:hAnsi="CG Times" w:cs="CG Times"/>
          <w:b/>
          <w:smallCaps/>
          <w:sz w:val="24"/>
        </w:rPr>
      </w:pPr>
      <w:r>
        <w:rPr>
          <w:rFonts w:cs="CG Times" w:ascii="CG Times" w:hAnsi="CG Times"/>
          <w:b/>
          <w:smallCaps/>
          <w:sz w:val="24"/>
        </w:rPr>
      </w:r>
    </w:p>
    <w:p>
      <w:pPr>
        <w:pStyle w:val="TALOMemo"/>
        <w:tabs>
          <w:tab w:val="clear" w:pos="4680"/>
        </w:tabs>
        <w:spacing w:before="20" w:after="0"/>
        <w:jc w:val="center"/>
        <w:rPr>
          <w:rFonts w:ascii="CG Times" w:hAnsi="CG Times" w:cs="CG Times"/>
          <w:b/>
          <w:smallCaps/>
          <w:sz w:val="24"/>
        </w:rPr>
      </w:pPr>
      <w:r>
        <w:rPr>
          <w:rFonts w:cs="CG Times" w:ascii="CG Times" w:hAnsi="CG Times"/>
          <w:b/>
          <w:smallCaps/>
          <w:sz w:val="24"/>
        </w:rPr>
        <w:t xml:space="preserve">WORKING NOTE RE PROPOSED ON-LINE TRANSACTIONS </w:t>
      </w:r>
    </w:p>
    <w:p>
      <w:pPr>
        <w:pStyle w:val="TALOMemo"/>
        <w:tabs>
          <w:tab w:val="clear" w:pos="4680"/>
        </w:tabs>
        <w:spacing w:before="20" w:after="0"/>
        <w:jc w:val="center"/>
        <w:rPr>
          <w:rFonts w:ascii="CG Times" w:hAnsi="CG Times" w:cs="CG Times"/>
          <w:b/>
          <w:smallCaps/>
          <w:sz w:val="24"/>
        </w:rPr>
      </w:pPr>
      <w:r>
        <w:rPr>
          <w:rFonts w:cs="CG Times" w:ascii="CG Times" w:hAnsi="CG Times"/>
          <w:b/>
          <w:smallCaps/>
          <w:sz w:val="24"/>
        </w:rPr>
        <w:t>REGULATORY ASPECTS</w:t>
      </w:r>
    </w:p>
    <w:p>
      <w:pPr>
        <w:pStyle w:val="TALOMemo"/>
        <w:tabs>
          <w:tab w:val="clear" w:pos="4680"/>
        </w:tabs>
        <w:spacing w:before="20" w:after="0"/>
        <w:ind w:start="1440" w:end="0"/>
        <w:jc w:val="end"/>
        <w:rPr>
          <w:rFonts w:ascii="CG Times" w:hAnsi="CG Times" w:cs="CG Times"/>
          <w:b/>
          <w:smallCaps/>
          <w:sz w:val="29"/>
        </w:rPr>
      </w:pPr>
      <w:r>
        <w:rPr>
          <w:rFonts w:cs="CG Times" w:ascii="CG Times" w:hAnsi="CG Times"/>
          <w:b/>
          <w:smallCaps/>
          <w:sz w:val="29"/>
        </w:rPr>
      </w:r>
    </w:p>
    <w:p>
      <w:pPr>
        <w:pStyle w:val="TALOMemo"/>
        <w:tabs>
          <w:tab w:val="clear" w:pos="4680"/>
          <w:tab w:val="right" w:pos="9360" w:leader="none"/>
        </w:tabs>
        <w:spacing w:lineRule="auto" w:line="240"/>
        <w:rPr>
          <w:rFonts w:ascii="CG Times (W1);Times New Roman" w:hAnsi="CG Times (W1);Times New Roman" w:cs="CG Times (W1);Times New Roman"/>
          <w:sz w:val="24"/>
        </w:rPr>
      </w:pPr>
      <w:r>
        <w:rPr>
          <w:rFonts w:cs="CG Times (W1);Times New Roman" w:ascii="CG Times (W1);Times New Roman" w:hAnsi="CG Times (W1);Times New Roman"/>
          <w:sz w:val="24"/>
          <w:u w:val="single"/>
        </w:rPr>
        <w:tab/>
      </w:r>
    </w:p>
    <w:p>
      <w:pPr>
        <w:pStyle w:val="Normal"/>
        <w:rPr>
          <w:rFonts w:ascii="CG Times (W1);Times New Roman" w:hAnsi="CG Times (W1);Times New Roman" w:cs="CG Times (W1);Times New Roman"/>
          <w:sz w:val="24"/>
          <w:lang w:eastAsia="ja-JP"/>
        </w:rPr>
      </w:pPr>
      <w:r>
        <w:rPr>
          <w:rFonts w:cs="CG Times (W1);Times New Roman"/>
          <w:sz w:val="24"/>
          <w:lang w:eastAsia="ja-JP"/>
        </w:rPr>
      </w:r>
    </w:p>
    <w:p>
      <w:pPr>
        <w:pStyle w:val="Heading2"/>
        <w:spacing w:before="0" w:after="0"/>
        <w:ind w:hanging="0" w:start="0"/>
        <w:rPr>
          <w:rFonts w:ascii="CG Times (W1);Times New Roman" w:hAnsi="CG Times (W1);Times New Roman" w:cs="CG Times (W1);Times New Roman"/>
          <w:lang w:eastAsia="ja-JP"/>
        </w:rPr>
      </w:pPr>
      <w:r>
        <w:rPr>
          <w:rFonts w:cs="CG Times (W1);Times New Roman" w:ascii="CG Times (W1);Times New Roman" w:hAnsi="CG Times (W1);Times New Roman"/>
          <w:lang w:eastAsia="ja-JP"/>
        </w:rPr>
        <w:t>Enron’s Plan</w:t>
      </w:r>
    </w:p>
    <w:p>
      <w:pPr>
        <w:pStyle w:val="Normal"/>
        <w:rPr>
          <w:rFonts w:ascii="CG Times (W1);Times New Roman" w:hAnsi="CG Times (W1);Times New Roman" w:cs="CG Times (W1);Times New Roman"/>
          <w:lang w:eastAsia="ja-JP"/>
        </w:rPr>
      </w:pPr>
      <w:r>
        <w:rPr>
          <w:rFonts w:cs="CG Times (W1);Times New Roman"/>
          <w:lang w:eastAsia="ja-JP"/>
        </w:rPr>
      </w:r>
    </w:p>
    <w:p>
      <w:pPr>
        <w:pStyle w:val="Normal"/>
        <w:rPr/>
      </w:pPr>
      <w:r>
        <w:rPr>
          <w:lang w:eastAsia="ja-JP"/>
        </w:rPr>
        <w:t xml:space="preserve">From </w:t>
      </w:r>
      <w:r>
        <w:rPr>
          <w:lang w:eastAsia="ja-JP"/>
        </w:rPr>
        <w:t xml:space="preserve">my </w:t>
      </w:r>
      <w:r>
        <w:rPr>
          <w:lang w:eastAsia="ja-JP"/>
        </w:rPr>
        <w:t xml:space="preserve">telephone conference </w:t>
      </w:r>
      <w:r>
        <w:rPr>
          <w:lang w:eastAsia="ja-JP"/>
        </w:rPr>
        <w:t xml:space="preserve">of 27 April 2000 </w:t>
      </w:r>
      <w:r>
        <w:rPr>
          <w:lang w:eastAsia="ja-JP"/>
        </w:rPr>
        <w:t>with Jo</w:t>
      </w:r>
      <w:r>
        <w:rPr>
          <w:lang w:eastAsia="ja-JP"/>
        </w:rPr>
        <w:t>seph</w:t>
      </w:r>
      <w:r>
        <w:rPr>
          <w:lang w:eastAsia="ja-JP"/>
        </w:rPr>
        <w:t xml:space="preserve"> Hirl, John Ambler and Nick O</w:t>
      </w:r>
      <w:r>
        <w:rPr>
          <w:lang w:eastAsia="ja-JP"/>
        </w:rPr>
        <w:t>’</w:t>
      </w:r>
      <w:r>
        <w:rPr>
          <w:lang w:eastAsia="ja-JP"/>
        </w:rPr>
        <w:t xml:space="preserve">Day, Enron plans to </w:t>
      </w:r>
      <w:r>
        <w:rPr>
          <w:lang w:eastAsia="ja-JP"/>
        </w:rPr>
        <w:t>introduce</w:t>
      </w:r>
      <w:r>
        <w:rPr>
          <w:lang w:eastAsia="ja-JP"/>
        </w:rPr>
        <w:t xml:space="preserve"> its online activities rapidly, starting with </w:t>
      </w:r>
      <w:r>
        <w:rPr>
          <w:lang w:eastAsia="ja-JP"/>
        </w:rPr>
        <w:t>“</w:t>
      </w:r>
      <w:r>
        <w:rPr>
          <w:lang w:eastAsia="ja-JP"/>
        </w:rPr>
        <w:t>liquid f</w:t>
      </w:r>
      <w:r>
        <w:rPr>
          <w:lang w:eastAsia="ja-JP"/>
        </w:rPr>
        <w:t>uel</w:t>
      </w:r>
      <w:r>
        <w:rPr>
          <w:lang w:eastAsia="ja-JP"/>
        </w:rPr>
        <w:t>s</w:t>
      </w:r>
      <w:r>
        <w:rPr>
          <w:lang w:eastAsia="ja-JP"/>
        </w:rPr>
        <w:t>”</w:t>
      </w:r>
      <w:r>
        <w:rPr>
          <w:lang w:eastAsia="ja-JP"/>
        </w:rPr>
        <w:t xml:space="preserve"> (crud</w:t>
      </w:r>
      <w:r>
        <w:rPr>
          <w:lang w:eastAsia="ja-JP"/>
        </w:rPr>
        <w:t>e</w:t>
      </w:r>
      <w:r>
        <w:rPr>
          <w:lang w:eastAsia="ja-JP"/>
        </w:rPr>
        <w:t xml:space="preserve"> and refined oil products), then coal, gas, weather, electricity.</w:t>
      </w:r>
    </w:p>
    <w:p>
      <w:pPr>
        <w:pStyle w:val="Normal"/>
        <w:rPr>
          <w:lang w:eastAsia="ja-JP"/>
        </w:rPr>
      </w:pPr>
      <w:r>
        <w:rPr>
          <w:lang w:eastAsia="ja-JP"/>
        </w:rPr>
      </w:r>
    </w:p>
    <w:p>
      <w:pPr>
        <w:pStyle w:val="Normal"/>
        <w:jc w:val="start"/>
        <w:rPr>
          <w:lang w:eastAsia="ja-JP"/>
        </w:rPr>
      </w:pPr>
      <w:r>
        <w:rPr>
          <w:lang w:eastAsia="ja-JP"/>
        </w:rPr>
        <w:t>E</w:t>
      </w:r>
      <w:r>
        <w:rPr>
          <w:lang w:eastAsia="ja-JP"/>
        </w:rPr>
        <w:t>xtensive publicity is expected, much of which will be generated by Enron itself, commencing in early May.</w:t>
      </w:r>
    </w:p>
    <w:p>
      <w:pPr>
        <w:pStyle w:val="Normal"/>
        <w:jc w:val="start"/>
        <w:rPr>
          <w:lang w:eastAsia="ja-JP"/>
        </w:rPr>
      </w:pPr>
      <w:r>
        <w:rPr>
          <w:lang w:eastAsia="ja-JP"/>
        </w:rPr>
      </w:r>
    </w:p>
    <w:p>
      <w:pPr>
        <w:pStyle w:val="Normal"/>
        <w:rPr/>
      </w:pPr>
      <w:r>
        <w:rPr>
          <w:lang w:eastAsia="ja-JP"/>
        </w:rPr>
        <w:t xml:space="preserve">The initial online business transactions will be with Enron North America Corp.  However, by the time electricity is </w:t>
      </w:r>
      <w:r>
        <w:rPr>
          <w:lang w:eastAsia="ja-JP"/>
        </w:rPr>
        <w:t>introduced</w:t>
      </w:r>
      <w:r>
        <w:rPr>
          <w:lang w:eastAsia="ja-JP"/>
        </w:rPr>
        <w:t xml:space="preserve"> later in the year, Enron wishes to use Enron Japan.</w:t>
      </w:r>
    </w:p>
    <w:p>
      <w:pPr>
        <w:pStyle w:val="Normal"/>
        <w:rPr>
          <w:lang w:eastAsia="ja-JP"/>
        </w:rPr>
      </w:pPr>
      <w:r>
        <w:rPr>
          <w:lang w:eastAsia="ja-JP"/>
        </w:rPr>
      </w:r>
    </w:p>
    <w:p>
      <w:pPr>
        <w:pStyle w:val="Normal"/>
        <w:rPr/>
      </w:pPr>
      <w:r>
        <w:rPr>
          <w:lang w:eastAsia="ja-JP"/>
        </w:rPr>
        <w:t xml:space="preserve">Other companies such as APX and Itochu have announced they wish to start trading in electricity also.  APX </w:t>
      </w:r>
      <w:r>
        <w:rPr>
          <w:lang w:eastAsia="ja-JP"/>
        </w:rPr>
        <w:t xml:space="preserve">seems to be contemplating </w:t>
      </w:r>
      <w:r>
        <w:rPr>
          <w:lang w:eastAsia="ja-JP"/>
        </w:rPr>
        <w:t>more of an exchange</w:t>
      </w:r>
      <w:r>
        <w:rPr>
          <w:lang w:eastAsia="ja-JP"/>
        </w:rPr>
        <w:t xml:space="preserve"> type function (intermediary?)</w:t>
      </w:r>
      <w:r>
        <w:rPr>
          <w:lang w:eastAsia="ja-JP"/>
        </w:rPr>
        <w:t>.  Enron Japan will act as princip</w:t>
      </w:r>
      <w:r>
        <w:rPr>
          <w:lang w:eastAsia="ja-JP"/>
        </w:rPr>
        <w:t>a</w:t>
      </w:r>
      <w:r>
        <w:rPr>
          <w:lang w:eastAsia="ja-JP"/>
        </w:rPr>
        <w:t>l</w:t>
      </w:r>
      <w:r>
        <w:rPr>
          <w:lang w:eastAsia="ja-JP"/>
        </w:rPr>
        <w:t xml:space="preserve"> in all trades</w:t>
      </w:r>
      <w:r>
        <w:rPr>
          <w:lang w:eastAsia="ja-JP"/>
        </w:rPr>
        <w:t>.</w:t>
      </w:r>
    </w:p>
    <w:p>
      <w:pPr>
        <w:pStyle w:val="Footer"/>
        <w:tabs>
          <w:tab w:val="clear" w:pos="4320"/>
          <w:tab w:val="clear" w:pos="8640"/>
        </w:tabs>
        <w:rPr>
          <w:lang w:eastAsia="ja-JP"/>
        </w:rPr>
      </w:pPr>
      <w:r>
        <w:rPr>
          <w:lang w:eastAsia="ja-JP"/>
        </w:rPr>
      </w:r>
    </w:p>
    <w:p>
      <w:pPr>
        <w:pStyle w:val="Footer"/>
        <w:tabs>
          <w:tab w:val="clear" w:pos="4320"/>
          <w:tab w:val="clear" w:pos="8640"/>
        </w:tabs>
        <w:rPr>
          <w:lang w:eastAsia="ja-JP"/>
        </w:rPr>
      </w:pPr>
      <w:r>
        <w:rPr>
          <w:lang w:eastAsia="ja-JP"/>
        </w:rPr>
        <w:t>This note it to confirm the preliminary views of Shinji Toyohara and myself on the regulatory implications, at least for the initially proposed trading, and identify areas which need to be reviewed and monitored as the plan proceeds towards commencement of trading through Enron Japan.</w:t>
      </w:r>
    </w:p>
    <w:p>
      <w:pPr>
        <w:pStyle w:val="Footer"/>
        <w:tabs>
          <w:tab w:val="clear" w:pos="4320"/>
          <w:tab w:val="clear" w:pos="8640"/>
        </w:tabs>
        <w:rPr>
          <w:lang w:eastAsia="ja-JP"/>
        </w:rPr>
      </w:pPr>
      <w:r>
        <w:rPr>
          <w:lang w:eastAsia="ja-JP"/>
        </w:rPr>
      </w:r>
    </w:p>
    <w:p>
      <w:pPr>
        <w:pStyle w:val="Heading2"/>
        <w:spacing w:before="0" w:after="0"/>
        <w:ind w:hanging="0" w:start="0"/>
        <w:rPr>
          <w:rFonts w:ascii="CG Times (W1);Times New Roman" w:hAnsi="CG Times (W1);Times New Roman" w:cs="CG Times (W1);Times New Roman"/>
          <w:lang w:eastAsia="ja-JP"/>
        </w:rPr>
      </w:pPr>
      <w:r>
        <w:rPr>
          <w:rFonts w:cs="CG Times (W1);Times New Roman" w:ascii="CG Times (W1);Times New Roman" w:hAnsi="CG Times (W1);Times New Roman"/>
          <w:lang w:eastAsia="ja-JP"/>
        </w:rPr>
        <w:t>Role of Enron Japan</w:t>
      </w:r>
    </w:p>
    <w:p>
      <w:pPr>
        <w:pStyle w:val="Normal"/>
        <w:rPr>
          <w:rFonts w:ascii="CG Times (W1);Times New Roman" w:hAnsi="CG Times (W1);Times New Roman" w:cs="CG Times (W1);Times New Roman"/>
          <w:u w:val="single"/>
          <w:lang w:eastAsia="ja-JP"/>
        </w:rPr>
      </w:pPr>
      <w:r>
        <w:rPr>
          <w:rFonts w:cs="CG Times (W1);Times New Roman"/>
          <w:u w:val="single"/>
          <w:lang w:eastAsia="ja-JP"/>
        </w:rPr>
      </w:r>
    </w:p>
    <w:p>
      <w:pPr>
        <w:pStyle w:val="Normal"/>
        <w:rPr>
          <w:lang w:eastAsia="ja-JP"/>
        </w:rPr>
      </w:pPr>
      <w:r>
        <w:rPr>
          <w:lang w:eastAsia="ja-JP"/>
        </w:rPr>
        <w:t>Japanese customers will enter a</w:t>
      </w:r>
      <w:r>
        <w:rPr>
          <w:lang w:eastAsia="ja-JP"/>
        </w:rPr>
        <w:t xml:space="preserve"> master</w:t>
      </w:r>
      <w:r>
        <w:rPr>
          <w:lang w:eastAsia="ja-JP"/>
        </w:rPr>
        <w:t xml:space="preserve"> agreement (comprising a password application and electronic trading agreement) with Enron North America Corp</w:t>
      </w:r>
      <w:r>
        <w:rPr>
          <w:lang w:eastAsia="ja-JP"/>
        </w:rPr>
        <w:t>.  Actual transactions will then be conducted online with ENAC.</w:t>
      </w:r>
    </w:p>
    <w:p>
      <w:pPr>
        <w:pStyle w:val="Normal"/>
        <w:rPr>
          <w:lang w:eastAsia="ja-JP"/>
        </w:rPr>
      </w:pPr>
      <w:r>
        <w:rPr>
          <w:lang w:eastAsia="ja-JP"/>
        </w:rPr>
      </w:r>
    </w:p>
    <w:p>
      <w:pPr>
        <w:pStyle w:val="Normal"/>
        <w:rPr/>
      </w:pPr>
      <w:r>
        <w:rPr>
          <w:lang w:eastAsia="ja-JP"/>
        </w:rPr>
        <w:t xml:space="preserve">However, for strategic </w:t>
      </w:r>
      <w:r>
        <w:rPr>
          <w:lang w:eastAsia="ja-JP"/>
        </w:rPr>
        <w:t>reasons</w:t>
      </w:r>
      <w:r>
        <w:rPr>
          <w:lang w:eastAsia="ja-JP"/>
        </w:rPr>
        <w:t>, Enron wants the business to be associated with Enron Japan</w:t>
      </w:r>
      <w:r>
        <w:rPr>
          <w:lang w:eastAsia="ja-JP"/>
        </w:rPr>
        <w:t xml:space="preserve"> which will support the business in various ways, including</w:t>
      </w:r>
      <w:r>
        <w:rPr>
          <w:lang w:eastAsia="ja-JP"/>
        </w:rPr>
        <w:t>:</w:t>
      </w:r>
    </w:p>
    <w:p>
      <w:pPr>
        <w:pStyle w:val="Normal"/>
        <w:rPr>
          <w:lang w:eastAsia="ja-JP"/>
        </w:rPr>
      </w:pPr>
      <w:r>
        <w:rPr>
          <w:lang w:eastAsia="ja-JP"/>
        </w:rPr>
      </w:r>
    </w:p>
    <w:p>
      <w:pPr>
        <w:pStyle w:val="Normal"/>
        <w:numPr>
          <w:ilvl w:val="0"/>
          <w:numId w:val="4"/>
        </w:numPr>
        <w:tabs>
          <w:tab w:val="clear" w:pos="720"/>
          <w:tab w:val="left" w:pos="698" w:leader="none"/>
        </w:tabs>
        <w:ind w:hanging="698" w:start="698" w:end="0"/>
        <w:rPr>
          <w:lang w:eastAsia="ja-JP"/>
        </w:rPr>
      </w:pPr>
      <w:r>
        <w:rPr>
          <w:lang w:eastAsia="ja-JP"/>
        </w:rPr>
        <w:t>Send</w:t>
      </w:r>
      <w:r>
        <w:rPr>
          <w:lang w:eastAsia="ja-JP"/>
        </w:rPr>
        <w:t>ing</w:t>
      </w:r>
      <w:r>
        <w:rPr>
          <w:lang w:eastAsia="ja-JP"/>
        </w:rPr>
        <w:t xml:space="preserve"> letters to customers.  </w:t>
      </w:r>
      <w:r>
        <w:rPr>
          <w:lang w:eastAsia="ja-JP"/>
        </w:rPr>
        <w:t xml:space="preserve">We have provided some input, taking into account the regulatory factors referred to below (in particular the desirability of keeping the “extra-territoriality” defense available as a fallback) and Ed Whatley is providing advice on the tax aspects.  The content of the letter is still under negotiation within Enron. </w:t>
      </w:r>
      <w:r>
        <w:rPr>
          <w:lang w:eastAsia="ja-JP"/>
        </w:rPr>
        <w:t xml:space="preserve">We </w:t>
      </w:r>
      <w:r>
        <w:rPr>
          <w:lang w:eastAsia="ja-JP"/>
        </w:rPr>
        <w:t>should also review the registration form, the brochure and other marketing documentation</w:t>
      </w:r>
      <w:r>
        <w:rPr>
          <w:lang w:eastAsia="ja-JP"/>
        </w:rPr>
        <w:t>.</w:t>
      </w:r>
    </w:p>
    <w:p>
      <w:pPr>
        <w:pStyle w:val="Normal"/>
        <w:rPr>
          <w:rFonts w:eastAsia="CG Times (W1);Times New Roman"/>
          <w:lang w:eastAsia="ja-JP"/>
        </w:rPr>
      </w:pPr>
      <w:r>
        <w:rPr>
          <w:rFonts w:eastAsia="CG Times (W1);Times New Roman"/>
          <w:lang w:eastAsia="ja-JP"/>
        </w:rPr>
        <w:t xml:space="preserve"> </w:t>
      </w:r>
    </w:p>
    <w:p>
      <w:pPr>
        <w:pStyle w:val="Normal"/>
        <w:numPr>
          <w:ilvl w:val="0"/>
          <w:numId w:val="4"/>
        </w:numPr>
        <w:tabs>
          <w:tab w:val="clear" w:pos="720"/>
          <w:tab w:val="left" w:pos="698" w:leader="none"/>
        </w:tabs>
        <w:ind w:hanging="698" w:start="698" w:end="0"/>
        <w:rPr>
          <w:lang w:eastAsia="ja-JP"/>
        </w:rPr>
      </w:pPr>
      <w:r>
        <w:rPr>
          <w:lang w:eastAsia="ja-JP"/>
        </w:rPr>
        <w:t xml:space="preserve">Enron Japan will provide a toll free number and a helpdesk to deal with questions, and provide information on how Enron can </w:t>
      </w:r>
      <w:r>
        <w:rPr>
          <w:lang w:eastAsia="ja-JP"/>
        </w:rPr>
        <w:t>“</w:t>
      </w:r>
      <w:r>
        <w:rPr>
          <w:lang w:eastAsia="ja-JP"/>
        </w:rPr>
        <w:t>help meet customer</w:t>
      </w:r>
      <w:r>
        <w:rPr>
          <w:lang w:eastAsia="ja-JP"/>
        </w:rPr>
        <w:t>’</w:t>
      </w:r>
      <w:r>
        <w:rPr>
          <w:lang w:eastAsia="ja-JP"/>
        </w:rPr>
        <w:t>s energy needs.</w:t>
      </w:r>
      <w:r>
        <w:rPr>
          <w:lang w:eastAsia="ja-JP"/>
        </w:rPr>
        <w:t>”</w:t>
      </w:r>
    </w:p>
    <w:p>
      <w:pPr>
        <w:pStyle w:val="Normal"/>
        <w:rPr>
          <w:lang w:eastAsia="ja-JP"/>
        </w:rPr>
      </w:pPr>
      <w:r>
        <w:rPr>
          <w:lang w:eastAsia="ja-JP"/>
        </w:rPr>
      </w:r>
    </w:p>
    <w:p>
      <w:pPr>
        <w:pStyle w:val="Normal"/>
        <w:numPr>
          <w:ilvl w:val="0"/>
          <w:numId w:val="4"/>
        </w:numPr>
        <w:tabs>
          <w:tab w:val="clear" w:pos="720"/>
          <w:tab w:val="left" w:pos="698" w:leader="none"/>
        </w:tabs>
        <w:ind w:hanging="698" w:start="698" w:end="0"/>
        <w:rPr>
          <w:lang w:eastAsia="ja-JP"/>
        </w:rPr>
      </w:pPr>
      <w:r>
        <w:rPr>
          <w:lang w:eastAsia="ja-JP"/>
        </w:rPr>
        <w:t>Enron Japan will also undertake telephone marketing (al</w:t>
      </w:r>
      <w:r>
        <w:rPr>
          <w:lang w:eastAsia="ja-JP"/>
        </w:rPr>
        <w:t xml:space="preserve">though </w:t>
      </w:r>
      <w:r>
        <w:rPr>
          <w:lang w:eastAsia="ja-JP"/>
        </w:rPr>
        <w:t>this could be done from overseas).</w:t>
      </w:r>
    </w:p>
    <w:p>
      <w:pPr>
        <w:pStyle w:val="Normal"/>
        <w:rPr>
          <w:lang w:eastAsia="ja-JP"/>
        </w:rPr>
      </w:pPr>
      <w:r>
        <w:rPr>
          <w:lang w:eastAsia="ja-JP"/>
        </w:rPr>
      </w:r>
    </w:p>
    <w:p>
      <w:pPr>
        <w:pStyle w:val="Footer"/>
        <w:tabs>
          <w:tab w:val="clear" w:pos="4320"/>
          <w:tab w:val="clear" w:pos="8640"/>
        </w:tabs>
        <w:rPr>
          <w:b/>
          <w:lang w:eastAsia="ja-JP"/>
        </w:rPr>
      </w:pPr>
      <w:r>
        <w:rPr>
          <w:b/>
          <w:lang w:eastAsia="ja-JP"/>
        </w:rPr>
        <w:t>Taxation</w:t>
      </w:r>
    </w:p>
    <w:p>
      <w:pPr>
        <w:pStyle w:val="Normal"/>
        <w:rPr>
          <w:b/>
          <w:u w:val="single"/>
          <w:lang w:eastAsia="ja-JP"/>
        </w:rPr>
      </w:pPr>
      <w:r>
        <w:rPr>
          <w:b/>
          <w:u w:val="single"/>
          <w:lang w:eastAsia="ja-JP"/>
        </w:rPr>
      </w:r>
    </w:p>
    <w:p>
      <w:pPr>
        <w:pStyle w:val="Normal"/>
        <w:rPr>
          <w:lang w:eastAsia="ja-JP"/>
        </w:rPr>
      </w:pPr>
      <w:r>
        <w:rPr>
          <w:lang w:eastAsia="ja-JP"/>
        </w:rPr>
        <w:t>Ed Whatley is covering the taxation issues.</w:t>
      </w:r>
    </w:p>
    <w:p>
      <w:pPr>
        <w:pStyle w:val="Normal"/>
        <w:rPr>
          <w:lang w:eastAsia="ja-JP"/>
        </w:rPr>
      </w:pPr>
      <w:r>
        <w:rPr>
          <w:lang w:eastAsia="ja-JP"/>
        </w:rPr>
      </w:r>
    </w:p>
    <w:p>
      <w:pPr>
        <w:pStyle w:val="Heading2"/>
        <w:spacing w:before="0" w:after="0"/>
        <w:ind w:hanging="0" w:start="0"/>
        <w:rPr>
          <w:rFonts w:ascii="CG Times (W1);Times New Roman" w:hAnsi="CG Times (W1);Times New Roman" w:cs="CG Times (W1);Times New Roman"/>
          <w:lang w:eastAsia="ja-JP"/>
        </w:rPr>
      </w:pPr>
      <w:r>
        <w:rPr>
          <w:rFonts w:cs="CG Times (W1);Times New Roman" w:ascii="CG Times (W1);Times New Roman" w:hAnsi="CG Times (W1);Times New Roman"/>
          <w:lang w:eastAsia="ja-JP"/>
        </w:rPr>
        <w:t>Regulatory</w:t>
      </w:r>
    </w:p>
    <w:p>
      <w:pPr>
        <w:pStyle w:val="Normal"/>
        <w:rPr>
          <w:rFonts w:ascii="CG Times (W1);Times New Roman" w:hAnsi="CG Times (W1);Times New Roman" w:cs="CG Times (W1);Times New Roman"/>
          <w:u w:val="single"/>
          <w:lang w:eastAsia="ja-JP"/>
        </w:rPr>
      </w:pPr>
      <w:r>
        <w:rPr>
          <w:rFonts w:cs="CG Times (W1);Times New Roman"/>
          <w:u w:val="single"/>
          <w:lang w:eastAsia="ja-JP"/>
        </w:rPr>
      </w:r>
    </w:p>
    <w:p>
      <w:pPr>
        <w:pStyle w:val="Normal"/>
        <w:rPr/>
      </w:pPr>
      <w:r>
        <w:rPr>
          <w:lang w:eastAsia="ja-JP"/>
        </w:rPr>
        <w:t xml:space="preserve">Our advice of </w:t>
      </w:r>
      <w:r>
        <w:rPr>
          <w:lang w:eastAsia="ja-JP"/>
        </w:rPr>
        <w:t xml:space="preserve">14/18 </w:t>
      </w:r>
      <w:r>
        <w:rPr>
          <w:lang w:eastAsia="ja-JP"/>
        </w:rPr>
        <w:t xml:space="preserve">January </w:t>
      </w:r>
      <w:r>
        <w:rPr>
          <w:lang w:eastAsia="ja-JP"/>
        </w:rPr>
        <w:t xml:space="preserve">2000 raises </w:t>
      </w:r>
      <w:r>
        <w:rPr>
          <w:lang w:eastAsia="ja-JP"/>
        </w:rPr>
        <w:t>the complicated regulatory issues.</w:t>
      </w:r>
    </w:p>
    <w:p>
      <w:pPr>
        <w:pStyle w:val="Normal"/>
        <w:rPr>
          <w:lang w:eastAsia="ja-JP"/>
        </w:rPr>
      </w:pPr>
      <w:r>
        <w:rPr>
          <w:lang w:eastAsia="ja-JP"/>
        </w:rPr>
      </w:r>
    </w:p>
    <w:p>
      <w:pPr>
        <w:pStyle w:val="Normal"/>
        <w:rPr/>
      </w:pPr>
      <w:r>
        <w:rPr>
          <w:lang w:eastAsia="ja-JP"/>
        </w:rPr>
        <w:t>Taking oil products as an example</w:t>
      </w:r>
      <w:r>
        <w:rPr>
          <w:lang w:eastAsia="ja-JP"/>
        </w:rPr>
        <w:t>, our preliminary analysis is</w:t>
      </w:r>
      <w:r>
        <w:rPr>
          <w:lang w:eastAsia="ja-JP"/>
        </w:rPr>
        <w:t>:</w:t>
      </w:r>
    </w:p>
    <w:p>
      <w:pPr>
        <w:pStyle w:val="Normal"/>
        <w:rPr>
          <w:lang w:eastAsia="ja-JP"/>
        </w:rPr>
      </w:pPr>
      <w:r>
        <w:rPr>
          <w:lang w:eastAsia="ja-JP"/>
        </w:rPr>
      </w:r>
    </w:p>
    <w:p>
      <w:pPr>
        <w:pStyle w:val="Normal"/>
        <w:numPr>
          <w:ilvl w:val="0"/>
          <w:numId w:val="6"/>
        </w:numPr>
        <w:tabs>
          <w:tab w:val="clear" w:pos="720"/>
          <w:tab w:val="left" w:pos="570" w:leader="none"/>
        </w:tabs>
        <w:ind w:hanging="570" w:start="570" w:end="0"/>
        <w:rPr>
          <w:lang w:eastAsia="ja-JP"/>
        </w:rPr>
      </w:pPr>
      <w:r>
        <w:rPr>
          <w:lang w:eastAsia="ja-JP"/>
        </w:rPr>
        <w:t>Except for kerosene and gasoline (see (d) below), s</w:t>
      </w:r>
      <w:r>
        <w:rPr>
          <w:lang w:eastAsia="ja-JP"/>
        </w:rPr>
        <w:t>ince there is no commodities market for such products</w:t>
      </w:r>
      <w:r>
        <w:rPr>
          <w:lang w:eastAsia="ja-JP"/>
        </w:rPr>
        <w:t xml:space="preserve"> (and possibly because Enron is not going to engage in the “brokerage business”)</w:t>
      </w:r>
      <w:r>
        <w:rPr>
          <w:lang w:eastAsia="ja-JP"/>
        </w:rPr>
        <w:t xml:space="preserve">, </w:t>
      </w:r>
      <w:r>
        <w:rPr>
          <w:lang w:eastAsia="ja-JP"/>
        </w:rPr>
        <w:t xml:space="preserve">Commodities Exchange Law (CEL) </w:t>
      </w:r>
      <w:r>
        <w:rPr>
          <w:lang w:eastAsia="ja-JP"/>
        </w:rPr>
        <w:t>permission is not required</w:t>
      </w:r>
      <w:r>
        <w:rPr>
          <w:lang w:eastAsia="ja-JP"/>
        </w:rPr>
        <w:t>.</w:t>
      </w:r>
    </w:p>
    <w:p>
      <w:pPr>
        <w:pStyle w:val="Normal"/>
        <w:ind w:firstLine="60" w:end="0"/>
        <w:rPr>
          <w:lang w:eastAsia="ja-JP"/>
        </w:rPr>
      </w:pPr>
      <w:r>
        <w:rPr>
          <w:lang w:eastAsia="ja-JP"/>
        </w:rPr>
      </w:r>
    </w:p>
    <w:p>
      <w:pPr>
        <w:pStyle w:val="Normal"/>
        <w:numPr>
          <w:ilvl w:val="0"/>
          <w:numId w:val="6"/>
        </w:numPr>
        <w:tabs>
          <w:tab w:val="clear" w:pos="720"/>
          <w:tab w:val="left" w:pos="570" w:leader="none"/>
        </w:tabs>
        <w:ind w:hanging="570" w:start="570" w:end="0"/>
        <w:rPr>
          <w:lang w:eastAsia="ja-JP"/>
        </w:rPr>
      </w:pPr>
      <w:r>
        <w:rPr>
          <w:lang w:eastAsia="ja-JP"/>
        </w:rPr>
        <w:t xml:space="preserve">For the same reasons, Enron </w:t>
      </w:r>
      <w:r>
        <w:rPr>
          <w:lang w:eastAsia="ja-JP"/>
        </w:rPr>
        <w:t>should not need to report on the transactions.</w:t>
      </w:r>
    </w:p>
    <w:p>
      <w:pPr>
        <w:pStyle w:val="Normal"/>
        <w:rPr>
          <w:lang w:eastAsia="ja-JP"/>
        </w:rPr>
      </w:pPr>
      <w:r>
        <w:rPr>
          <w:lang w:eastAsia="ja-JP"/>
        </w:rPr>
      </w:r>
    </w:p>
    <w:p>
      <w:pPr>
        <w:pStyle w:val="Normal"/>
        <w:numPr>
          <w:ilvl w:val="0"/>
          <w:numId w:val="6"/>
        </w:numPr>
        <w:tabs>
          <w:tab w:val="clear" w:pos="720"/>
          <w:tab w:val="left" w:pos="570" w:leader="none"/>
        </w:tabs>
        <w:ind w:hanging="570" w:start="570" w:end="0"/>
        <w:rPr>
          <w:lang w:eastAsia="ja-JP"/>
        </w:rPr>
      </w:pPr>
      <w:r>
        <w:rPr>
          <w:lang w:eastAsia="ja-JP"/>
        </w:rPr>
        <w:t>Since the product is not a financial f</w:t>
      </w:r>
      <w:r>
        <w:rPr>
          <w:lang w:eastAsia="ja-JP"/>
        </w:rPr>
        <w:t>u</w:t>
      </w:r>
      <w:r>
        <w:rPr>
          <w:lang w:eastAsia="ja-JP"/>
        </w:rPr>
        <w:t>ture or security</w:t>
      </w:r>
      <w:r>
        <w:rPr>
          <w:lang w:eastAsia="ja-JP"/>
        </w:rPr>
        <w:t xml:space="preserve"> (or a derivative product relating to a security)</w:t>
      </w:r>
      <w:r>
        <w:rPr>
          <w:lang w:eastAsia="ja-JP"/>
        </w:rPr>
        <w:t xml:space="preserve">, </w:t>
      </w:r>
      <w:r>
        <w:rPr>
          <w:lang w:eastAsia="ja-JP"/>
        </w:rPr>
        <w:t xml:space="preserve">and Enron is not to engage in the “brokerage” as such, </w:t>
      </w:r>
      <w:r>
        <w:rPr>
          <w:lang w:eastAsia="ja-JP"/>
        </w:rPr>
        <w:t xml:space="preserve">the relevant provisions of the </w:t>
      </w:r>
      <w:r>
        <w:rPr>
          <w:lang w:eastAsia="ja-JP"/>
        </w:rPr>
        <w:t>Banking Law and Securities Exchange Law</w:t>
      </w:r>
      <w:r>
        <w:rPr>
          <w:lang w:eastAsia="ja-JP"/>
        </w:rPr>
        <w:t xml:space="preserve"> </w:t>
      </w:r>
      <w:r>
        <w:rPr>
          <w:lang w:eastAsia="ja-JP"/>
        </w:rPr>
        <w:t>sh</w:t>
      </w:r>
      <w:r>
        <w:rPr>
          <w:lang w:eastAsia="ja-JP"/>
        </w:rPr>
        <w:t>ould not apply.</w:t>
      </w:r>
    </w:p>
    <w:p>
      <w:pPr>
        <w:pStyle w:val="Normal"/>
        <w:rPr>
          <w:lang w:eastAsia="ja-JP"/>
        </w:rPr>
      </w:pPr>
      <w:r>
        <w:rPr>
          <w:lang w:eastAsia="ja-JP"/>
        </w:rPr>
      </w:r>
    </w:p>
    <w:p>
      <w:pPr>
        <w:pStyle w:val="Normal"/>
        <w:numPr>
          <w:ilvl w:val="0"/>
          <w:numId w:val="6"/>
        </w:numPr>
        <w:tabs>
          <w:tab w:val="clear" w:pos="720"/>
          <w:tab w:val="left" w:pos="570" w:leader="none"/>
        </w:tabs>
        <w:ind w:hanging="570" w:start="570" w:end="0"/>
        <w:rPr>
          <w:lang w:eastAsia="ja-JP"/>
        </w:rPr>
      </w:pPr>
      <w:r>
        <w:rPr>
          <w:lang w:eastAsia="ja-JP"/>
        </w:rPr>
        <w:t xml:space="preserve">The prohibition in the </w:t>
      </w:r>
      <w:r>
        <w:rPr>
          <w:lang w:eastAsia="ja-JP"/>
        </w:rPr>
        <w:t>CEL on</w:t>
      </w:r>
      <w:r>
        <w:rPr>
          <w:lang w:eastAsia="ja-JP"/>
        </w:rPr>
        <w:t xml:space="preserve"> persons from entering transactions outside the commodities market </w:t>
      </w:r>
      <w:r>
        <w:rPr>
          <w:lang w:eastAsia="ja-JP"/>
        </w:rPr>
        <w:t xml:space="preserve">will </w:t>
      </w:r>
      <w:r>
        <w:rPr>
          <w:lang w:eastAsia="ja-JP"/>
        </w:rPr>
        <w:t xml:space="preserve">apply </w:t>
      </w:r>
      <w:r>
        <w:rPr>
          <w:lang w:eastAsia="ja-JP"/>
        </w:rPr>
        <w:t xml:space="preserve">to </w:t>
      </w:r>
      <w:r>
        <w:rPr>
          <w:lang w:eastAsia="ja-JP"/>
        </w:rPr>
        <w:t>products f</w:t>
      </w:r>
      <w:r>
        <w:rPr>
          <w:lang w:eastAsia="ja-JP"/>
        </w:rPr>
        <w:t>alling</w:t>
      </w:r>
      <w:r>
        <w:rPr>
          <w:lang w:eastAsia="ja-JP"/>
        </w:rPr>
        <w:t xml:space="preserve"> within the definition of </w:t>
      </w:r>
      <w:r>
        <w:rPr>
          <w:lang w:eastAsia="ja-JP"/>
        </w:rPr>
        <w:t>“ker</w:t>
      </w:r>
      <w:r>
        <w:rPr>
          <w:lang w:eastAsia="ja-JP"/>
        </w:rPr>
        <w:t>osene or gasoline</w:t>
      </w:r>
      <w:r>
        <w:rPr>
          <w:lang w:eastAsia="ja-JP"/>
        </w:rPr>
        <w:t>” (</w:t>
      </w:r>
      <w:r>
        <w:rPr>
          <w:lang w:eastAsia="ja-JP"/>
        </w:rPr>
        <w:t>being products for which a Japanese market exists</w:t>
      </w:r>
      <w:r>
        <w:rPr>
          <w:lang w:eastAsia="ja-JP"/>
        </w:rPr>
        <w:t>)</w:t>
      </w:r>
      <w:r>
        <w:rPr>
          <w:lang w:eastAsia="ja-JP"/>
        </w:rPr>
        <w:t xml:space="preserve">, </w:t>
      </w:r>
      <w:r>
        <w:rPr>
          <w:lang w:eastAsia="ja-JP"/>
        </w:rPr>
        <w:t xml:space="preserve">if </w:t>
      </w:r>
      <w:r>
        <w:rPr>
          <w:lang w:eastAsia="ja-JP"/>
        </w:rPr>
        <w:t xml:space="preserve">payment </w:t>
      </w:r>
      <w:r>
        <w:rPr>
          <w:lang w:eastAsia="ja-JP"/>
        </w:rPr>
        <w:t xml:space="preserve">is to be </w:t>
      </w:r>
      <w:r>
        <w:rPr>
          <w:lang w:eastAsia="ja-JP"/>
        </w:rPr>
        <w:t xml:space="preserve">based on changes </w:t>
      </w:r>
      <w:r>
        <w:rPr>
          <w:lang w:eastAsia="ja-JP"/>
        </w:rPr>
        <w:t>in</w:t>
      </w:r>
      <w:r>
        <w:rPr>
          <w:lang w:eastAsia="ja-JP"/>
        </w:rPr>
        <w:t xml:space="preserve"> the price quoted on th</w:t>
      </w:r>
      <w:r>
        <w:rPr>
          <w:lang w:eastAsia="ja-JP"/>
        </w:rPr>
        <w:t xml:space="preserve">e relevant </w:t>
      </w:r>
      <w:r>
        <w:rPr>
          <w:lang w:eastAsia="ja-JP"/>
        </w:rPr>
        <w:t>Japanese commodities market.</w:t>
      </w:r>
    </w:p>
    <w:p>
      <w:pPr>
        <w:pStyle w:val="Normal"/>
        <w:rPr>
          <w:lang w:eastAsia="ja-JP"/>
        </w:rPr>
      </w:pPr>
      <w:r>
        <w:rPr>
          <w:lang w:eastAsia="ja-JP"/>
        </w:rPr>
      </w:r>
    </w:p>
    <w:p>
      <w:pPr>
        <w:pStyle w:val="Normal"/>
        <w:rPr/>
      </w:pPr>
      <w:r>
        <w:rPr>
          <w:lang w:eastAsia="ja-JP"/>
        </w:rPr>
        <w:t>Probably the greates</w:t>
      </w:r>
      <w:r>
        <w:rPr>
          <w:lang w:eastAsia="ja-JP"/>
        </w:rPr>
        <w:t>t</w:t>
      </w:r>
      <w:r>
        <w:rPr>
          <w:lang w:eastAsia="ja-JP"/>
        </w:rPr>
        <w:t xml:space="preserve"> concern is the CEL prohibition on establishment of a </w:t>
      </w:r>
      <w:r>
        <w:rPr>
          <w:lang w:eastAsia="ja-JP"/>
        </w:rPr>
        <w:t>“</w:t>
      </w:r>
      <w:r>
        <w:rPr>
          <w:lang w:eastAsia="ja-JP"/>
        </w:rPr>
        <w:t>facility</w:t>
      </w:r>
      <w:r>
        <w:rPr>
          <w:lang w:eastAsia="ja-JP"/>
        </w:rPr>
        <w:t>”</w:t>
      </w:r>
      <w:r>
        <w:rPr>
          <w:lang w:eastAsia="ja-JP"/>
        </w:rPr>
        <w:t xml:space="preserve"> for transactions with respect to </w:t>
      </w:r>
      <w:r>
        <w:rPr>
          <w:lang w:eastAsia="ja-JP"/>
        </w:rPr>
        <w:t>“</w:t>
      </w:r>
      <w:r>
        <w:rPr>
          <w:lang w:eastAsia="ja-JP"/>
        </w:rPr>
        <w:t>commodities.</w:t>
      </w:r>
      <w:r>
        <w:rPr>
          <w:lang w:eastAsia="ja-JP"/>
        </w:rPr>
        <w:t>”</w:t>
      </w:r>
    </w:p>
    <w:p>
      <w:pPr>
        <w:pStyle w:val="Normal"/>
        <w:rPr>
          <w:lang w:eastAsia="ja-JP"/>
        </w:rPr>
      </w:pPr>
      <w:r>
        <w:rPr>
          <w:lang w:eastAsia="ja-JP"/>
        </w:rPr>
      </w:r>
    </w:p>
    <w:p>
      <w:pPr>
        <w:pStyle w:val="Normal"/>
        <w:rPr/>
      </w:pPr>
      <w:r>
        <w:rPr>
          <w:lang w:eastAsia="ja-JP"/>
        </w:rPr>
        <w:t xml:space="preserve">The term </w:t>
      </w:r>
      <w:r>
        <w:rPr>
          <w:lang w:eastAsia="ja-JP"/>
        </w:rPr>
        <w:t>“commodity” includes a number of the products being contemplated, including liquid fuels, coal, gas.</w:t>
      </w:r>
    </w:p>
    <w:p>
      <w:pPr>
        <w:pStyle w:val="Normal"/>
        <w:rPr>
          <w:lang w:eastAsia="ja-JP"/>
        </w:rPr>
      </w:pPr>
      <w:r>
        <w:rPr>
          <w:lang w:eastAsia="ja-JP"/>
        </w:rPr>
      </w:r>
    </w:p>
    <w:p>
      <w:pPr>
        <w:pStyle w:val="Normal"/>
        <w:rPr/>
      </w:pPr>
      <w:r>
        <w:rPr>
          <w:lang w:eastAsia="ja-JP"/>
        </w:rPr>
        <w:t xml:space="preserve">The term </w:t>
      </w:r>
      <w:r>
        <w:rPr>
          <w:lang w:eastAsia="ja-JP"/>
        </w:rPr>
        <w:t>“</w:t>
      </w:r>
      <w:r>
        <w:rPr>
          <w:lang w:eastAsia="ja-JP"/>
        </w:rPr>
        <w:t>facility</w:t>
      </w:r>
      <w:r>
        <w:rPr>
          <w:lang w:eastAsia="ja-JP"/>
        </w:rPr>
        <w:t xml:space="preserve">” </w:t>
      </w:r>
      <w:r>
        <w:rPr>
          <w:lang w:eastAsia="ja-JP"/>
        </w:rPr>
        <w:t xml:space="preserve">is used in a number of laws, </w:t>
      </w:r>
      <w:r>
        <w:rPr>
          <w:lang w:eastAsia="ja-JP"/>
        </w:rPr>
        <w:t>but</w:t>
      </w:r>
      <w:r>
        <w:rPr>
          <w:lang w:eastAsia="ja-JP"/>
        </w:rPr>
        <w:t xml:space="preserve"> is not defined in any, there is no case law and few academic commentaries.  The general view is that it could be a physical market place or a telephone or internet service.</w:t>
      </w:r>
    </w:p>
    <w:p>
      <w:pPr>
        <w:pStyle w:val="Normal"/>
        <w:rPr>
          <w:lang w:eastAsia="ja-JP"/>
        </w:rPr>
      </w:pPr>
      <w:r>
        <w:rPr>
          <w:lang w:eastAsia="ja-JP"/>
        </w:rPr>
      </w:r>
    </w:p>
    <w:p>
      <w:pPr>
        <w:pStyle w:val="Normal"/>
        <w:rPr/>
      </w:pPr>
      <w:r>
        <w:rPr>
          <w:lang w:eastAsia="ja-JP"/>
        </w:rPr>
        <w:t>In r</w:t>
      </w:r>
      <w:r>
        <w:rPr>
          <w:lang w:eastAsia="ja-JP"/>
        </w:rPr>
        <w:t>ecent discussions with the government in relation to financial products</w:t>
      </w:r>
      <w:r>
        <w:rPr>
          <w:lang w:eastAsia="ja-JP"/>
        </w:rPr>
        <w:t xml:space="preserve">, the government has </w:t>
      </w:r>
      <w:r>
        <w:rPr>
          <w:lang w:eastAsia="ja-JP"/>
        </w:rPr>
        <w:t xml:space="preserve"> </w:t>
      </w:r>
      <w:r>
        <w:rPr>
          <w:lang w:eastAsia="ja-JP"/>
        </w:rPr>
        <w:t>tended to take a broad</w:t>
      </w:r>
      <w:r>
        <w:rPr>
          <w:lang w:eastAsia="ja-JP"/>
        </w:rPr>
        <w:t xml:space="preserve"> view</w:t>
      </w:r>
      <w:r>
        <w:rPr>
          <w:lang w:eastAsia="ja-JP"/>
        </w:rPr>
        <w:t>, and would include in the term</w:t>
      </w:r>
      <w:r>
        <w:rPr>
          <w:lang w:eastAsia="ja-JP"/>
        </w:rPr>
        <w:t xml:space="preserve"> any facility which </w:t>
      </w:r>
      <w:r>
        <w:rPr>
          <w:lang w:eastAsia="ja-JP"/>
        </w:rPr>
        <w:t>“</w:t>
      </w:r>
      <w:r>
        <w:rPr>
          <w:lang w:eastAsia="ja-JP"/>
        </w:rPr>
        <w:t>assists</w:t>
      </w:r>
      <w:r>
        <w:rPr>
          <w:lang w:eastAsia="ja-JP"/>
        </w:rPr>
        <w:t>”</w:t>
      </w:r>
      <w:r>
        <w:rPr>
          <w:lang w:eastAsia="ja-JP"/>
        </w:rPr>
        <w:t xml:space="preserve"> the main transaction.</w:t>
      </w:r>
    </w:p>
    <w:p>
      <w:pPr>
        <w:pStyle w:val="Normal"/>
        <w:rPr>
          <w:lang w:eastAsia="ja-JP"/>
        </w:rPr>
      </w:pPr>
      <w:r>
        <w:rPr>
          <w:lang w:eastAsia="ja-JP"/>
        </w:rPr>
      </w:r>
    </w:p>
    <w:p>
      <w:pPr>
        <w:pStyle w:val="Normal"/>
        <w:rPr>
          <w:lang w:eastAsia="ja-JP"/>
        </w:rPr>
      </w:pPr>
      <w:r>
        <w:rPr>
          <w:lang w:eastAsia="ja-JP"/>
        </w:rPr>
        <w:t>However:</w:t>
      </w:r>
    </w:p>
    <w:p>
      <w:pPr>
        <w:pStyle w:val="Normal"/>
        <w:rPr>
          <w:lang w:eastAsia="ja-JP"/>
        </w:rPr>
      </w:pPr>
      <w:r>
        <w:rPr>
          <w:lang w:eastAsia="ja-JP"/>
        </w:rPr>
      </w:r>
    </w:p>
    <w:p>
      <w:pPr>
        <w:pStyle w:val="Normal"/>
        <w:numPr>
          <w:ilvl w:val="0"/>
          <w:numId w:val="4"/>
        </w:numPr>
        <w:tabs>
          <w:tab w:val="clear" w:pos="720"/>
          <w:tab w:val="left" w:pos="698" w:leader="none"/>
        </w:tabs>
        <w:ind w:hanging="698" w:start="698" w:end="0"/>
        <w:rPr>
          <w:lang w:eastAsia="ja-JP"/>
        </w:rPr>
      </w:pPr>
      <w:r>
        <w:rPr>
          <w:lang w:eastAsia="ja-JP"/>
        </w:rPr>
        <w:t>The</w:t>
      </w:r>
      <w:r>
        <w:rPr>
          <w:lang w:eastAsia="ja-JP"/>
        </w:rPr>
        <w:t xml:space="preserve"> term is normally considered to exclude transactions entered into between two parties on a bilateral basis (such as an ISDA agreement)</w:t>
      </w:r>
      <w:r>
        <w:rPr>
          <w:lang w:eastAsia="ja-JP"/>
        </w:rPr>
        <w:t xml:space="preserve">  (Which seems to be the position here)(confirm)</w:t>
      </w:r>
    </w:p>
    <w:p>
      <w:pPr>
        <w:pStyle w:val="Normal"/>
        <w:rPr>
          <w:rFonts w:eastAsia="CG Times (W1);Times New Roman"/>
          <w:lang w:eastAsia="ja-JP"/>
        </w:rPr>
      </w:pPr>
      <w:r>
        <w:rPr>
          <w:rFonts w:eastAsia="CG Times (W1);Times New Roman"/>
          <w:lang w:eastAsia="ja-JP"/>
        </w:rPr>
        <w:t xml:space="preserve"> </w:t>
      </w:r>
    </w:p>
    <w:p>
      <w:pPr>
        <w:pStyle w:val="Normal"/>
        <w:numPr>
          <w:ilvl w:val="0"/>
          <w:numId w:val="4"/>
        </w:numPr>
        <w:tabs>
          <w:tab w:val="clear" w:pos="720"/>
          <w:tab w:val="left" w:pos="698" w:leader="none"/>
        </w:tabs>
        <w:ind w:hanging="698" w:start="698" w:end="0"/>
        <w:rPr>
          <w:lang w:eastAsia="ja-JP"/>
        </w:rPr>
      </w:pPr>
      <w:r>
        <w:rPr>
          <w:lang w:eastAsia="ja-JP"/>
        </w:rPr>
        <w:t>A</w:t>
      </w:r>
      <w:r>
        <w:rPr>
          <w:lang w:eastAsia="ja-JP"/>
        </w:rPr>
        <w:t>rticle 1</w:t>
      </w:r>
      <w:r>
        <w:rPr>
          <w:lang w:eastAsia="ja-JP"/>
        </w:rPr>
        <w:t>4</w:t>
      </w:r>
      <w:r>
        <w:rPr>
          <w:lang w:eastAsia="ja-JP"/>
        </w:rPr>
        <w:t xml:space="preserve">5-3 of the CEL exempts facilities solely for the purpose of conducting: </w:t>
      </w:r>
    </w:p>
    <w:p>
      <w:pPr>
        <w:pStyle w:val="Normal"/>
        <w:rPr>
          <w:lang w:eastAsia="ja-JP"/>
        </w:rPr>
      </w:pPr>
      <w:r>
        <w:rPr>
          <w:lang w:eastAsia="ja-JP"/>
        </w:rPr>
      </w:r>
    </w:p>
    <w:p>
      <w:pPr>
        <w:pStyle w:val="Normal"/>
        <w:numPr>
          <w:ilvl w:val="0"/>
          <w:numId w:val="2"/>
        </w:numPr>
        <w:tabs>
          <w:tab w:val="clear" w:pos="720"/>
          <w:tab w:val="left" w:pos="1442" w:leader="none"/>
        </w:tabs>
        <w:ind w:hanging="744" w:start="1442" w:end="0"/>
        <w:rPr>
          <w:lang w:eastAsia="ja-JP"/>
        </w:rPr>
      </w:pPr>
      <w:r>
        <w:rPr>
          <w:lang w:eastAsia="ja-JP"/>
        </w:rPr>
        <w:t>transactions similar to futures transactions with regard to a commodity entered by a person who is in the business physically buying or selling such commodity for his own business or on his own account</w:t>
      </w:r>
      <w:r>
        <w:rPr>
          <w:lang w:eastAsia="ja-JP"/>
        </w:rPr>
        <w:t xml:space="preserve">, where </w:t>
      </w:r>
    </w:p>
    <w:p>
      <w:pPr>
        <w:pStyle w:val="Normal"/>
        <w:ind w:start="698" w:end="0"/>
        <w:rPr>
          <w:rFonts w:eastAsia="CG Times (W1);Times New Roman"/>
          <w:lang w:eastAsia="ja-JP"/>
        </w:rPr>
      </w:pPr>
      <w:r>
        <w:rPr>
          <w:rFonts w:eastAsia="CG Times (W1);Times New Roman"/>
          <w:lang w:eastAsia="ja-JP"/>
        </w:rPr>
        <w:t xml:space="preserve"> </w:t>
      </w:r>
    </w:p>
    <w:p>
      <w:pPr>
        <w:pStyle w:val="Normal"/>
        <w:numPr>
          <w:ilvl w:val="0"/>
          <w:numId w:val="2"/>
        </w:numPr>
        <w:tabs>
          <w:tab w:val="clear" w:pos="720"/>
          <w:tab w:val="left" w:pos="1442" w:leader="none"/>
        </w:tabs>
        <w:ind w:hanging="744" w:start="1442" w:end="0"/>
        <w:rPr>
          <w:lang w:eastAsia="ja-JP"/>
        </w:rPr>
      </w:pPr>
      <w:r>
        <w:rPr>
          <w:lang w:eastAsia="ja-JP"/>
        </w:rPr>
        <w:t xml:space="preserve">the facility complies with Article </w:t>
      </w:r>
      <w:r>
        <w:rPr>
          <w:lang w:eastAsia="ja-JP"/>
        </w:rPr>
        <w:t>10</w:t>
      </w:r>
      <w:r>
        <w:rPr>
          <w:lang w:eastAsia="ja-JP"/>
        </w:rPr>
        <w:t xml:space="preserve"> of the enforcement order, i.e. only persons in </w:t>
      </w:r>
      <w:r>
        <w:rPr>
          <w:lang w:eastAsia="ja-JP"/>
        </w:rPr>
        <w:t>the</w:t>
      </w:r>
      <w:r>
        <w:rPr>
          <w:lang w:eastAsia="ja-JP"/>
        </w:rPr>
        <w:t xml:space="preserve"> business </w:t>
      </w:r>
      <w:r>
        <w:rPr>
          <w:lang w:eastAsia="ja-JP"/>
        </w:rPr>
        <w:t xml:space="preserve">of physically trading that commodity </w:t>
      </w:r>
      <w:r>
        <w:rPr>
          <w:lang w:eastAsia="ja-JP"/>
        </w:rPr>
        <w:t xml:space="preserve">actually participate </w:t>
      </w:r>
      <w:r>
        <w:rPr>
          <w:lang w:eastAsia="ja-JP"/>
        </w:rPr>
        <w:t>in the</w:t>
      </w:r>
      <w:r>
        <w:rPr>
          <w:lang w:eastAsia="ja-JP"/>
        </w:rPr>
        <w:t xml:space="preserve"> facility</w:t>
      </w:r>
      <w:r>
        <w:rPr>
          <w:lang w:eastAsia="ja-JP"/>
        </w:rPr>
        <w:t xml:space="preserve"> as principal</w:t>
      </w:r>
      <w:r>
        <w:rPr>
          <w:lang w:eastAsia="ja-JP"/>
        </w:rPr>
        <w:t xml:space="preserve">, and </w:t>
      </w:r>
    </w:p>
    <w:p>
      <w:pPr>
        <w:pStyle w:val="Normal"/>
        <w:rPr>
          <w:lang w:eastAsia="ja-JP"/>
        </w:rPr>
      </w:pPr>
      <w:r>
        <w:rPr>
          <w:lang w:eastAsia="ja-JP"/>
        </w:rPr>
      </w:r>
    </w:p>
    <w:p>
      <w:pPr>
        <w:pStyle w:val="Normal"/>
        <w:numPr>
          <w:ilvl w:val="0"/>
          <w:numId w:val="2"/>
        </w:numPr>
        <w:tabs>
          <w:tab w:val="clear" w:pos="720"/>
          <w:tab w:val="left" w:pos="1442" w:leader="none"/>
        </w:tabs>
        <w:ind w:hanging="744" w:start="1442" w:end="0"/>
        <w:rPr>
          <w:lang w:eastAsia="ja-JP"/>
        </w:rPr>
      </w:pPr>
      <w:r>
        <w:rPr>
          <w:lang w:eastAsia="ja-JP"/>
        </w:rPr>
        <w:t>the commodity or commodity index is not a listed commodity or listed commodity index.</w:t>
      </w:r>
      <w:r>
        <w:rPr>
          <w:lang w:eastAsia="ja-JP"/>
        </w:rPr>
        <w:t xml:space="preserve"> (I</w:t>
      </w:r>
      <w:r>
        <w:rPr>
          <w:lang w:eastAsia="ja-JP"/>
        </w:rPr>
        <w:t xml:space="preserve">n the present case, of the products contemplated only </w:t>
      </w:r>
      <w:r>
        <w:rPr>
          <w:lang w:eastAsia="ja-JP"/>
        </w:rPr>
        <w:t>ke</w:t>
      </w:r>
      <w:r>
        <w:rPr>
          <w:lang w:eastAsia="ja-JP"/>
        </w:rPr>
        <w:t xml:space="preserve">rosene and gasoline would be </w:t>
      </w:r>
      <w:r>
        <w:rPr>
          <w:lang w:eastAsia="ja-JP"/>
        </w:rPr>
        <w:t>“</w:t>
      </w:r>
      <w:r>
        <w:rPr>
          <w:lang w:eastAsia="ja-JP"/>
        </w:rPr>
        <w:t>listed commodities.</w:t>
      </w:r>
      <w:r>
        <w:rPr>
          <w:lang w:eastAsia="ja-JP"/>
        </w:rPr>
        <w:t>”)</w:t>
      </w:r>
    </w:p>
    <w:p>
      <w:pPr>
        <w:pStyle w:val="Normal"/>
        <w:rPr>
          <w:lang w:eastAsia="ja-JP"/>
        </w:rPr>
      </w:pPr>
      <w:r>
        <w:rPr>
          <w:lang w:eastAsia="ja-JP"/>
        </w:rPr>
      </w:r>
    </w:p>
    <w:p>
      <w:pPr>
        <w:pStyle w:val="Normal"/>
        <w:rPr/>
      </w:pPr>
      <w:r>
        <w:rPr>
          <w:lang w:eastAsia="ja-JP"/>
        </w:rPr>
        <w:t xml:space="preserve">Based on the above, Enron </w:t>
      </w:r>
      <w:r>
        <w:rPr>
          <w:lang w:eastAsia="ja-JP"/>
        </w:rPr>
        <w:t xml:space="preserve">would have </w:t>
      </w:r>
      <w:r>
        <w:rPr>
          <w:lang w:eastAsia="ja-JP"/>
        </w:rPr>
        <w:t xml:space="preserve">a strong case to argue that its proposed activities in Japan will not constitute a </w:t>
      </w:r>
      <w:r>
        <w:rPr>
          <w:lang w:eastAsia="ja-JP"/>
        </w:rPr>
        <w:t>“</w:t>
      </w:r>
      <w:r>
        <w:rPr>
          <w:lang w:eastAsia="ja-JP"/>
        </w:rPr>
        <w:t>facility</w:t>
      </w:r>
      <w:r>
        <w:rPr>
          <w:lang w:eastAsia="ja-JP"/>
        </w:rPr>
        <w:t>”</w:t>
      </w:r>
      <w:r>
        <w:rPr>
          <w:lang w:eastAsia="ja-JP"/>
        </w:rPr>
        <w:t xml:space="preserve">, although the danger is higher with respect to </w:t>
      </w:r>
      <w:r>
        <w:rPr>
          <w:lang w:eastAsia="ja-JP"/>
        </w:rPr>
        <w:t>kerosene</w:t>
      </w:r>
      <w:r>
        <w:rPr>
          <w:lang w:eastAsia="ja-JP"/>
        </w:rPr>
        <w:t xml:space="preserve"> and </w:t>
      </w:r>
      <w:r>
        <w:rPr>
          <w:lang w:eastAsia="ja-JP"/>
        </w:rPr>
        <w:t>gasoline</w:t>
      </w:r>
      <w:r>
        <w:rPr>
          <w:lang w:eastAsia="ja-JP"/>
        </w:rPr>
        <w:t>.</w:t>
      </w:r>
    </w:p>
    <w:p>
      <w:pPr>
        <w:pStyle w:val="Normal"/>
        <w:rPr>
          <w:lang w:eastAsia="ja-JP"/>
        </w:rPr>
      </w:pPr>
      <w:r>
        <w:rPr>
          <w:lang w:eastAsia="ja-JP"/>
        </w:rPr>
      </w:r>
    </w:p>
    <w:p>
      <w:pPr>
        <w:pStyle w:val="Normal"/>
        <w:rPr/>
      </w:pPr>
      <w:r>
        <w:rPr>
          <w:lang w:eastAsia="ja-JP"/>
        </w:rPr>
        <w:t xml:space="preserve">However, in view of the still </w:t>
      </w:r>
      <w:r>
        <w:rPr>
          <w:lang w:eastAsia="ja-JP"/>
        </w:rPr>
        <w:t>“</w:t>
      </w:r>
      <w:r>
        <w:rPr>
          <w:lang w:eastAsia="ja-JP"/>
        </w:rPr>
        <w:t>undeveloped</w:t>
      </w:r>
      <w:r>
        <w:rPr>
          <w:lang w:eastAsia="ja-JP"/>
        </w:rPr>
        <w:t>”</w:t>
      </w:r>
      <w:r>
        <w:rPr>
          <w:lang w:eastAsia="ja-JP"/>
        </w:rPr>
        <w:t xml:space="preserve"> </w:t>
      </w:r>
      <w:r>
        <w:rPr>
          <w:lang w:eastAsia="ja-JP"/>
        </w:rPr>
        <w:t xml:space="preserve">state of the </w:t>
      </w:r>
      <w:r>
        <w:rPr>
          <w:lang w:eastAsia="ja-JP"/>
        </w:rPr>
        <w:t>law and the government</w:t>
      </w:r>
      <w:r>
        <w:rPr>
          <w:lang w:eastAsia="ja-JP"/>
        </w:rPr>
        <w:t>’s</w:t>
      </w:r>
      <w:r>
        <w:rPr>
          <w:lang w:eastAsia="ja-JP"/>
        </w:rPr>
        <w:t xml:space="preserve"> regulatory view, our second line of defense was to be that Enron is not establishing a facility or conducting such business </w:t>
      </w:r>
      <w:r>
        <w:rPr>
          <w:u w:val="single"/>
          <w:lang w:eastAsia="ja-JP"/>
        </w:rPr>
        <w:t>in Japan</w:t>
      </w:r>
      <w:r>
        <w:rPr>
          <w:lang w:eastAsia="ja-JP"/>
        </w:rPr>
        <w:t>.</w:t>
      </w:r>
    </w:p>
    <w:p>
      <w:pPr>
        <w:pStyle w:val="Footer"/>
        <w:tabs>
          <w:tab w:val="clear" w:pos="4320"/>
          <w:tab w:val="clear" w:pos="8640"/>
        </w:tabs>
        <w:rPr>
          <w:b/>
          <w:lang w:eastAsia="ja-JP"/>
        </w:rPr>
      </w:pPr>
      <w:r>
        <w:rPr>
          <w:b/>
          <w:lang w:eastAsia="ja-JP"/>
        </w:rPr>
      </w:r>
    </w:p>
    <w:p>
      <w:pPr>
        <w:pStyle w:val="Footer"/>
        <w:tabs>
          <w:tab w:val="clear" w:pos="4320"/>
          <w:tab w:val="clear" w:pos="8640"/>
        </w:tabs>
        <w:rPr>
          <w:b/>
          <w:lang w:eastAsia="ja-JP"/>
        </w:rPr>
      </w:pPr>
      <w:r>
        <w:rPr>
          <w:b/>
          <w:lang w:eastAsia="ja-JP"/>
        </w:rPr>
        <w:t>Extraterritoriality</w:t>
      </w:r>
    </w:p>
    <w:p>
      <w:pPr>
        <w:pStyle w:val="Footer"/>
        <w:tabs>
          <w:tab w:val="clear" w:pos="4320"/>
          <w:tab w:val="clear" w:pos="8640"/>
        </w:tabs>
        <w:rPr>
          <w:b/>
          <w:lang w:eastAsia="ja-JP"/>
        </w:rPr>
      </w:pPr>
      <w:r>
        <w:rPr>
          <w:b/>
          <w:lang w:eastAsia="ja-JP"/>
        </w:rPr>
      </w:r>
    </w:p>
    <w:p>
      <w:pPr>
        <w:pStyle w:val="Normal"/>
        <w:rPr/>
      </w:pPr>
      <w:r>
        <w:rPr>
          <w:lang w:eastAsia="ja-JP"/>
        </w:rPr>
        <w:t xml:space="preserve">The CEL does not contain any clear provisions with respect </w:t>
      </w:r>
      <w:r>
        <w:rPr>
          <w:lang w:eastAsia="ja-JP"/>
        </w:rPr>
        <w:t xml:space="preserve">to </w:t>
      </w:r>
      <w:r>
        <w:rPr>
          <w:lang w:eastAsia="ja-JP"/>
        </w:rPr>
        <w:t xml:space="preserve">extraterritorial application.  The general view is that </w:t>
      </w:r>
      <w:r>
        <w:rPr>
          <w:lang w:eastAsia="ja-JP"/>
        </w:rPr>
        <w:t xml:space="preserve">the law would not apply </w:t>
      </w:r>
      <w:r>
        <w:rPr>
          <w:lang w:eastAsia="ja-JP"/>
        </w:rPr>
        <w:t>if:</w:t>
      </w:r>
    </w:p>
    <w:p>
      <w:pPr>
        <w:pStyle w:val="Normal"/>
        <w:rPr>
          <w:lang w:eastAsia="ja-JP"/>
        </w:rPr>
      </w:pPr>
      <w:r>
        <w:rPr>
          <w:lang w:eastAsia="ja-JP"/>
        </w:rPr>
      </w:r>
    </w:p>
    <w:p>
      <w:pPr>
        <w:pStyle w:val="Normal"/>
        <w:numPr>
          <w:ilvl w:val="0"/>
          <w:numId w:val="4"/>
        </w:numPr>
        <w:tabs>
          <w:tab w:val="clear" w:pos="720"/>
          <w:tab w:val="left" w:pos="698" w:leader="none"/>
        </w:tabs>
        <w:ind w:hanging="698" w:start="698" w:end="0"/>
        <w:rPr>
          <w:lang w:eastAsia="ja-JP"/>
        </w:rPr>
      </w:pPr>
      <w:r>
        <w:rPr>
          <w:lang w:eastAsia="ja-JP"/>
        </w:rPr>
        <w:t>The server is located outside Japan</w:t>
      </w:r>
    </w:p>
    <w:p>
      <w:pPr>
        <w:pStyle w:val="Normal"/>
        <w:numPr>
          <w:ilvl w:val="0"/>
          <w:numId w:val="5"/>
        </w:numPr>
        <w:tabs>
          <w:tab w:val="clear" w:pos="720"/>
          <w:tab w:val="left" w:pos="698" w:leader="none"/>
        </w:tabs>
        <w:rPr>
          <w:lang w:eastAsia="ja-JP"/>
        </w:rPr>
      </w:pPr>
      <w:r>
        <w:rPr>
          <w:lang w:eastAsia="ja-JP"/>
        </w:rPr>
        <w:t>There is no Japanese language content on the site</w:t>
      </w:r>
    </w:p>
    <w:p>
      <w:pPr>
        <w:pStyle w:val="Normal"/>
        <w:numPr>
          <w:ilvl w:val="0"/>
          <w:numId w:val="4"/>
        </w:numPr>
        <w:tabs>
          <w:tab w:val="clear" w:pos="720"/>
          <w:tab w:val="left" w:pos="698" w:leader="none"/>
        </w:tabs>
        <w:ind w:hanging="0" w:start="0" w:end="0"/>
        <w:rPr>
          <w:lang w:eastAsia="ja-JP"/>
        </w:rPr>
      </w:pPr>
      <w:r>
        <w:rPr>
          <w:lang w:eastAsia="ja-JP"/>
        </w:rPr>
        <w:t>The site is not being marketed specifically to Japanese investors.</w:t>
      </w:r>
      <w:r>
        <w:br w:type="page"/>
      </w:r>
    </w:p>
    <w:p>
      <w:pPr>
        <w:pStyle w:val="Footer"/>
        <w:tabs>
          <w:tab w:val="clear" w:pos="4320"/>
          <w:tab w:val="clear" w:pos="8640"/>
        </w:tabs>
        <w:rPr>
          <w:lang w:eastAsia="ja-JP"/>
        </w:rPr>
      </w:pPr>
      <w:r>
        <w:rPr>
          <w:lang w:eastAsia="ja-JP"/>
        </w:rPr>
      </w:r>
    </w:p>
    <w:p>
      <w:pPr>
        <w:pStyle w:val="Heading2"/>
        <w:spacing w:before="0" w:after="0"/>
        <w:ind w:hanging="0" w:start="0"/>
        <w:rPr>
          <w:rFonts w:ascii="CG Times (W1);Times New Roman" w:hAnsi="CG Times (W1);Times New Roman" w:cs="CG Times (W1);Times New Roman"/>
          <w:lang w:eastAsia="ja-JP"/>
        </w:rPr>
      </w:pPr>
      <w:r>
        <w:rPr>
          <w:rFonts w:cs="CG Times (W1);Times New Roman" w:ascii="CG Times (W1);Times New Roman" w:hAnsi="CG Times (W1);Times New Roman"/>
          <w:lang w:eastAsia="ja-JP"/>
        </w:rPr>
        <w:t>Future</w:t>
      </w:r>
    </w:p>
    <w:p>
      <w:pPr>
        <w:pStyle w:val="Normal"/>
        <w:rPr>
          <w:rFonts w:ascii="CG Times (W1);Times New Roman" w:hAnsi="CG Times (W1);Times New Roman" w:cs="CG Times (W1);Times New Roman"/>
          <w:lang w:eastAsia="ja-JP"/>
        </w:rPr>
      </w:pPr>
      <w:r>
        <w:rPr>
          <w:rFonts w:cs="CG Times (W1);Times New Roman"/>
          <w:lang w:eastAsia="ja-JP"/>
        </w:rPr>
      </w:r>
    </w:p>
    <w:p>
      <w:pPr>
        <w:pStyle w:val="Normal"/>
        <w:rPr>
          <w:u w:val="single"/>
          <w:lang w:eastAsia="ja-JP"/>
        </w:rPr>
      </w:pPr>
      <w:r>
        <w:rPr>
          <w:u w:val="single"/>
          <w:lang w:eastAsia="ja-JP"/>
        </w:rPr>
        <w:t>Trading Electricity through EJ</w:t>
      </w:r>
    </w:p>
    <w:p>
      <w:pPr>
        <w:pStyle w:val="Normal"/>
        <w:rPr>
          <w:u w:val="single"/>
          <w:lang w:eastAsia="ja-JP"/>
        </w:rPr>
      </w:pPr>
      <w:r>
        <w:rPr>
          <w:u w:val="single"/>
          <w:lang w:eastAsia="ja-JP"/>
        </w:rPr>
      </w:r>
    </w:p>
    <w:p>
      <w:pPr>
        <w:pStyle w:val="Normal"/>
        <w:rPr>
          <w:lang w:eastAsia="ja-JP"/>
        </w:rPr>
      </w:pPr>
      <w:r>
        <w:rPr>
          <w:lang w:eastAsia="ja-JP"/>
        </w:rPr>
        <w:t xml:space="preserve">Aside from the possible extra-territoriality escape, Enron is in any event contemplating trading electricity (at least) in the future directly through Enron Japan. </w:t>
      </w:r>
    </w:p>
    <w:p>
      <w:pPr>
        <w:pStyle w:val="Normal"/>
        <w:rPr>
          <w:lang w:eastAsia="ja-JP"/>
        </w:rPr>
      </w:pPr>
      <w:r>
        <w:rPr>
          <w:lang w:eastAsia="ja-JP"/>
        </w:rPr>
      </w:r>
    </w:p>
    <w:p>
      <w:pPr>
        <w:pStyle w:val="Normal"/>
        <w:rPr>
          <w:lang w:eastAsia="ja-JP"/>
        </w:rPr>
      </w:pPr>
      <w:r>
        <w:rPr>
          <w:lang w:eastAsia="ja-JP"/>
        </w:rPr>
        <w:t>We need to reconfirm that, since there is no commodities market for electricity, and electricity is not a “commodity” or “listed commodity,” and Enron will in any event be acting only as a principal in these trades, there is no need for approval etc, other than notification as a SSEUB,</w:t>
      </w:r>
    </w:p>
    <w:p>
      <w:pPr>
        <w:pStyle w:val="Normal"/>
        <w:rPr>
          <w:lang w:eastAsia="ja-JP"/>
        </w:rPr>
      </w:pPr>
      <w:r>
        <w:rPr>
          <w:lang w:eastAsia="ja-JP"/>
        </w:rPr>
      </w:r>
    </w:p>
    <w:p>
      <w:pPr>
        <w:pStyle w:val="Normal"/>
        <w:rPr>
          <w:u w:val="single"/>
          <w:lang w:eastAsia="ja-JP"/>
        </w:rPr>
      </w:pPr>
      <w:r>
        <w:rPr>
          <w:u w:val="single"/>
          <w:lang w:eastAsia="ja-JP"/>
        </w:rPr>
        <w:t>Trading in Other Products Through EJ</w:t>
      </w:r>
    </w:p>
    <w:p>
      <w:pPr>
        <w:pStyle w:val="Normal"/>
        <w:rPr>
          <w:u w:val="single"/>
          <w:lang w:eastAsia="ja-JP"/>
        </w:rPr>
      </w:pPr>
      <w:r>
        <w:rPr>
          <w:u w:val="single"/>
          <w:lang w:eastAsia="ja-JP"/>
        </w:rPr>
      </w:r>
    </w:p>
    <w:p>
      <w:pPr>
        <w:pStyle w:val="Normal"/>
        <w:rPr>
          <w:lang w:eastAsia="ja-JP"/>
        </w:rPr>
      </w:pPr>
      <w:r>
        <w:rPr>
          <w:lang w:eastAsia="ja-JP"/>
        </w:rPr>
        <w:t>With respect to Enron Japan becoming involved in gas, liquid fuel and coal etc, the question will be whether the activity constitutes a “facility.”  In this regard key issues will include:</w:t>
      </w:r>
    </w:p>
    <w:p>
      <w:pPr>
        <w:pStyle w:val="Normal"/>
        <w:rPr>
          <w:lang w:eastAsia="ja-JP"/>
        </w:rPr>
      </w:pPr>
      <w:r>
        <w:rPr>
          <w:lang w:eastAsia="ja-JP"/>
        </w:rPr>
      </w:r>
    </w:p>
    <w:p>
      <w:pPr>
        <w:pStyle w:val="Normal"/>
        <w:numPr>
          <w:ilvl w:val="0"/>
          <w:numId w:val="3"/>
        </w:numPr>
        <w:rPr>
          <w:lang w:eastAsia="ja-JP"/>
        </w:rPr>
      </w:pPr>
      <w:r>
        <w:rPr>
          <w:lang w:eastAsia="ja-JP"/>
        </w:rPr>
        <w:t>the fact the Enron Japan acts only as principal</w:t>
      </w:r>
    </w:p>
    <w:p>
      <w:pPr>
        <w:pStyle w:val="Normal"/>
        <w:numPr>
          <w:ilvl w:val="0"/>
          <w:numId w:val="3"/>
        </w:numPr>
        <w:rPr>
          <w:lang w:eastAsia="ja-JP"/>
        </w:rPr>
      </w:pPr>
      <w:r>
        <w:rPr>
          <w:lang w:eastAsia="ja-JP"/>
        </w:rPr>
        <w:t>whether the customers are all in the business of trading those commodities.</w:t>
      </w:r>
      <w:r>
        <w:rPr>
          <w:lang w:eastAsia="ja-JP"/>
        </w:rPr>
        <w:t xml:space="preserve"> </w:t>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t>Paul Davis</w:t>
      </w:r>
    </w:p>
    <w:sectPr>
      <w:headerReference w:type="default" r:id="rId2"/>
      <w:headerReference w:type="first" r:id="rId3"/>
      <w:footerReference w:type="default" r:id="rId4"/>
      <w:footerReference w:type="first" r:id="rId5"/>
      <w:type w:val="nextPage"/>
      <w:pgSz w:w="12240" w:h="15840"/>
      <w:pgMar w:left="1440" w:right="1440" w:gutter="0" w:header="567" w:top="1009" w:footer="567"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Univers">
    <w:charset w:val="00" w:characterSet="windows-1252"/>
    <w:family w:val="swiss"/>
    <w:pitch w:val="variable"/>
  </w:font>
  <w:font w:name="CG Times">
    <w:charset w:val="00" w:characterSet="windows-1252"/>
    <w:family w:val="roman"/>
    <w:pitch w:val="variable"/>
  </w:font>
  <w:font w:name="ATEngravure">
    <w:charset w:val="00" w:characterSet="windows-1252"/>
    <w:family w:val="roman"/>
    <w:pitch w:val="variable"/>
  </w:font>
  <w:font w:name="Baker &amp; McKenzie Logo">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56" w:leader="none"/>
      </w:tabs>
      <w:rPr>
        <w:rFonts w:ascii="Baker &amp; McKenzie Logo" w:hAnsi="Baker &amp; McKenzie Logo" w:cs="Baker &amp; McKenzie Logo"/>
        <w:b/>
        <w:spacing w:val="20"/>
        <w:sz w:val="20"/>
      </w:rPr>
    </w:pPr>
    <w:r>
      <w:rPr>
        <w:rFonts w:cs="Baker &amp; McKenzie Logo" w:ascii="Baker &amp; McKenzie Logo" w:hAnsi="Baker &amp; McKenzie Logo"/>
        <w:b/>
        <w:spacing w:val="20"/>
        <w:sz w:val="20"/>
      </w:rPr>
    </w:r>
  </w:p>
  <w:p>
    <w:pPr>
      <w:pStyle w:val="Footer"/>
      <w:tabs>
        <w:tab w:val="clear" w:pos="8640"/>
        <w:tab w:val="center" w:pos="4320" w:leader="none"/>
        <w:tab w:val="right" w:pos="9356"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/mnt/main-storage/datasets/enron-docs/doc/EnronMemo16.doc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56" w:leader="none"/>
      </w:tabs>
      <w:rPr>
        <w:rFonts w:ascii="Baker &amp; McKenzie Logo" w:hAnsi="Baker &amp; McKenzie Logo" w:cs="Baker &amp; McKenzie Logo"/>
        <w:b/>
        <w:spacing w:val="20"/>
        <w:sz w:val="20"/>
      </w:rPr>
    </w:pPr>
    <w:r>
      <w:rPr>
        <w:rFonts w:cs="Baker &amp; McKenzie Logo" w:ascii="Baker &amp; McKenzie Logo" w:hAnsi="Baker &amp; McKenzie Logo"/>
        <w:b/>
        <w:spacing w:val="20"/>
        <w:sz w:val="20"/>
      </w:rPr>
    </w:r>
  </w:p>
  <w:p>
    <w:pPr>
      <w:pStyle w:val="Footer"/>
      <w:tabs>
        <w:tab w:val="clear" w:pos="8640"/>
        <w:tab w:val="center" w:pos="4320" w:leader="none"/>
        <w:tab w:val="right" w:pos="9356"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/mnt/main-storage/datasets/enron-docs/doc/EnronMemo16.doc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p>
    <w:pPr>
      <w:pStyle w:val="Normal"/>
      <w:tabs>
        <w:tab w:val="clear" w:pos="720"/>
        <w:tab w:val="right" w:pos="8910" w:leader="none"/>
      </w:tabs>
      <w:rPr>
        <w:rFonts w:ascii="Times New Roman" w:hAnsi="Times New Roman" w:cs="Times New Roman"/>
        <w:b/>
        <w:smallCaps/>
      </w:rPr>
    </w:pPr>
    <w:r>
      <w:rPr>
        <w:rFonts w:cs="ATEngravure" w:ascii="ATEngravure" w:hAnsi="ATEngravure"/>
        <w:b/>
        <w:smallCaps/>
      </w:rPr>
      <w:t>Tokyo Aoyama Law Office</w:t>
    </w:r>
    <w:r>
      <w:rPr>
        <w:rFonts w:cs="Times New Roman" w:ascii="Times New Roman" w:hAnsi="Times New Roman"/>
        <w:b/>
        <w:smallCaps/>
      </w:rPr>
      <w:tab/>
    </w:r>
    <w:r>
      <w:rPr>
        <w:rFonts w:cs="Baker &amp; McKenzie Logo" w:ascii="Baker &amp; McKenzie Logo" w:hAnsi="Baker &amp; McKenzie Logo"/>
        <w:b/>
        <w:smallCaps/>
        <w:spacing w:val="20"/>
      </w:rPr>
      <w:sym w:font="Baker &amp; McKenzie Logo" w:char="f041"/>
      <w:sym w:font="Baker &amp; McKenzie Logo" w:char="f042"/>
    </w:r>
  </w:p>
  <w:p>
    <w:pPr>
      <w:pStyle w:val="Header"/>
      <w:rPr>
        <w:rFonts w:ascii="Times New Roman" w:hAnsi="Times New Roman" w:cs="Times New Roman"/>
      </w:rPr>
    </w:pPr>
    <w:r>
      <w:rPr>
        <w:rFonts w:cs="Times New Roman" w:ascii="Times New Roman" w:hAnsi="Times New Roman"/>
      </w:rPr>
      <w:t>March 6, 2000</w:t>
    </w:r>
  </w:p>
  <w:p>
    <w:pPr>
      <w:pStyle w:val="Header"/>
      <w:rPr>
        <w:rFonts w:ascii="Times New Roman" w:hAnsi="Times New Roman" w:cs="Times New Roman"/>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r>
  </w:p>
  <w:p>
    <w:pPr>
      <w:pStyle w:val="Head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numPr>
        <w:ilvl w:val="0"/>
        <w:numId w:val="0"/>
      </w:numPr>
      <w:spacing w:lineRule="exact" w:line="280"/>
      <w:ind w:firstLine="900" w:start="-180" w:end="14"/>
      <w:outlineLvl w:val="0"/>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62"/>
        </w:tabs>
        <w:ind w:start="2162" w:hanging="744"/>
      </w:pPr>
      <w:rPr/>
    </w:lvl>
  </w:abstractNum>
  <w:abstractNum w:abstractNumId="3">
    <w:lvl w:ilvl="0">
      <w:numFmt w:val="bullet"/>
      <w:lvlText w:val="-"/>
      <w:lvlJc w:val="start"/>
      <w:pPr>
        <w:tabs>
          <w:tab w:val="num" w:pos="720"/>
        </w:tabs>
        <w:ind w:start="720" w:hanging="720"/>
      </w:pPr>
      <w:rPr>
        <w:rFonts w:ascii="Times New Roman" w:hAnsi="Times New Roman" w:cs="Times New Roman" w:hint="default"/>
      </w:rPr>
    </w:lvl>
  </w:abstractNum>
  <w:abstractNum w:abstractNumId="4">
    <w:lvl w:ilvl="0">
      <w:start w:val="1"/>
      <w:numFmt w:val="bullet"/>
      <w:lvlText w:val=""/>
      <w:lvlJc w:val="start"/>
      <w:pPr>
        <w:tabs>
          <w:tab w:val="num" w:pos="360"/>
        </w:tabs>
        <w:ind w:start="340" w:hanging="340"/>
      </w:pPr>
      <w:rPr>
        <w:rFonts w:ascii="Wingdings" w:hAnsi="Wingdings" w:cs="Wingdings" w:hint="default"/>
        <w:sz w:val="12"/>
      </w:rPr>
    </w:lvl>
  </w:abstractNum>
  <w:abstractNum w:abstractNumId="5">
    <w:lvl w:ilvl="0">
      <w:start w:val="1"/>
      <w:numFmt w:val="bullet"/>
      <w:lvlText w:val=""/>
      <w:lvlJc w:val="start"/>
      <w:pPr>
        <w:tabs>
          <w:tab w:val="num" w:pos="360"/>
        </w:tabs>
        <w:ind w:start="340" w:hanging="340"/>
      </w:pPr>
      <w:rPr>
        <w:rFonts w:ascii="Wingdings" w:hAnsi="Wingdings" w:cs="Wingdings" w:hint="default"/>
        <w:sz w:val="12"/>
      </w:rPr>
    </w:lvl>
  </w:abstractNum>
  <w:abstractNum w:abstractNumId="6">
    <w:lvl w:ilvl="0">
      <w:start w:val="1"/>
      <w:numFmt w:val="lowerLetter"/>
      <w:lvlText w:val="(%1)"/>
      <w:lvlJc w:val="start"/>
      <w:pPr>
        <w:tabs>
          <w:tab w:val="num" w:pos="1137"/>
        </w:tabs>
        <w:ind w:start="1137" w:hanging="57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jc w:val="both"/>
    </w:pPr>
    <w:rPr>
      <w:rFonts w:ascii="CG Times (W1);Times New Roman" w:hAnsi="CG Times (W1);Times New Roman" w:eastAsia="ＭＳ 明朝" w:cs="CG Times (W1);Times New Roman"/>
      <w:color w:val="auto"/>
      <w:sz w:val="24"/>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Arial" w:hAnsi="Arial" w:cs="Arial"/>
      <w:b/>
      <w:u w:val="single"/>
    </w:rPr>
  </w:style>
  <w:style w:type="paragraph" w:styleId="Heading2">
    <w:name w:val="heading 2"/>
    <w:basedOn w:val="Normal"/>
    <w:next w:val="Normal"/>
    <w:qFormat/>
    <w:pPr>
      <w:numPr>
        <w:ilvl w:val="1"/>
        <w:numId w:val="1"/>
      </w:numPr>
      <w:spacing w:before="120" w:after="0"/>
      <w:outlineLvl w:val="1"/>
    </w:pPr>
    <w:rPr>
      <w:rFonts w:ascii="Arial" w:hAnsi="Arial" w:cs="Arial"/>
      <w:b/>
    </w:rPr>
  </w:style>
  <w:style w:type="paragraph" w:styleId="Heading3">
    <w:name w:val="heading 3"/>
    <w:basedOn w:val="Normal"/>
    <w:next w:val="NormalIndent"/>
    <w:qFormat/>
    <w:pPr>
      <w:numPr>
        <w:ilvl w:val="2"/>
        <w:numId w:val="1"/>
      </w:numPr>
      <w:ind w:hanging="0" w:start="360" w:end="0"/>
      <w:outlineLvl w:val="2"/>
    </w:pPr>
    <w:rPr>
      <w:rFonts w:ascii="Times New Roman" w:hAnsi="Times New Roman" w:cs="Times New Roman"/>
      <w:b/>
    </w:rPr>
  </w:style>
  <w:style w:type="paragraph" w:styleId="Heading4">
    <w:name w:val="heading 4"/>
    <w:basedOn w:val="Normal"/>
    <w:next w:val="NormalIndent"/>
    <w:qFormat/>
    <w:pPr>
      <w:numPr>
        <w:ilvl w:val="3"/>
        <w:numId w:val="1"/>
      </w:numPr>
      <w:ind w:hanging="0" w:start="360" w:end="0"/>
      <w:outlineLvl w:val="3"/>
    </w:pPr>
    <w:rPr>
      <w:rFonts w:ascii="Times New Roman" w:hAnsi="Times New Roman" w:cs="Times New Roman"/>
      <w:u w:val="single"/>
    </w:rPr>
  </w:style>
  <w:style w:type="paragraph" w:styleId="Heading5">
    <w:name w:val="heading 5"/>
    <w:basedOn w:val="Normal"/>
    <w:next w:val="NormalIndent"/>
    <w:qFormat/>
    <w:pPr>
      <w:numPr>
        <w:ilvl w:val="4"/>
        <w:numId w:val="1"/>
      </w:numPr>
      <w:ind w:hanging="0" w:start="720" w:end="0"/>
      <w:outlineLvl w:val="4"/>
    </w:pPr>
    <w:rPr>
      <w:rFonts w:ascii="Times New Roman" w:hAnsi="Times New Roman" w:cs="Times New Roman"/>
      <w:b/>
      <w:sz w:val="20"/>
    </w:rPr>
  </w:style>
  <w:style w:type="paragraph" w:styleId="Heading6">
    <w:name w:val="heading 6"/>
    <w:basedOn w:val="Normal"/>
    <w:next w:val="NormalIndent"/>
    <w:qFormat/>
    <w:pPr>
      <w:numPr>
        <w:ilvl w:val="5"/>
        <w:numId w:val="1"/>
      </w:numPr>
      <w:ind w:hanging="0" w:start="720" w:end="0"/>
      <w:outlineLvl w:val="5"/>
    </w:pPr>
    <w:rPr>
      <w:rFonts w:ascii="Times New Roman" w:hAnsi="Times New Roman" w:cs="Times New Roman"/>
      <w:sz w:val="20"/>
      <w:u w:val="single"/>
    </w:rPr>
  </w:style>
  <w:style w:type="paragraph" w:styleId="Heading7">
    <w:name w:val="heading 7"/>
    <w:basedOn w:val="Normal"/>
    <w:next w:val="NormalIndent"/>
    <w:qFormat/>
    <w:pPr>
      <w:numPr>
        <w:ilvl w:val="6"/>
        <w:numId w:val="1"/>
      </w:numPr>
      <w:ind w:hanging="0" w:start="720" w:end="0"/>
      <w:outlineLvl w:val="6"/>
    </w:pPr>
    <w:rPr>
      <w:rFonts w:ascii="Times New Roman" w:hAnsi="Times New Roman" w:cs="Times New Roman"/>
      <w:i/>
      <w:sz w:val="20"/>
    </w:rPr>
  </w:style>
  <w:style w:type="paragraph" w:styleId="Heading8">
    <w:name w:val="heading 8"/>
    <w:basedOn w:val="Normal"/>
    <w:next w:val="NormalIndent"/>
    <w:qFormat/>
    <w:pPr>
      <w:numPr>
        <w:ilvl w:val="7"/>
        <w:numId w:val="1"/>
      </w:numPr>
      <w:ind w:hanging="0" w:start="720" w:end="0"/>
      <w:outlineLvl w:val="7"/>
    </w:pPr>
    <w:rPr>
      <w:rFonts w:ascii="Times New Roman" w:hAnsi="Times New Roman" w:cs="Times New Roman"/>
      <w:i/>
      <w:sz w:val="20"/>
    </w:rPr>
  </w:style>
  <w:style w:type="paragraph" w:styleId="Heading9">
    <w:name w:val="heading 9"/>
    <w:basedOn w:val="Normal"/>
    <w:next w:val="NormalIndent"/>
    <w:qFormat/>
    <w:pPr>
      <w:numPr>
        <w:ilvl w:val="8"/>
        <w:numId w:val="1"/>
      </w:numPr>
      <w:ind w:hanging="0" w:start="720" w:end="0"/>
      <w:outlineLvl w:val="8"/>
    </w:pPr>
    <w:rPr>
      <w:rFonts w:ascii="Times New Roman" w:hAnsi="Times New Roman" w:cs="Times New Roman"/>
      <w:i/>
      <w:sz w:val="20"/>
    </w:rPr>
  </w:style>
  <w:style w:type="character" w:styleId="WW8Num1z0">
    <w:name w:val="WW8Num1z0"/>
    <w:qFormat/>
    <w:rPr>
      <w:rFonts w:ascii="Wingdings" w:hAnsi="Wingdings" w:cs="Wingdings"/>
      <w:sz w:val="12"/>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rPr>
  </w:style>
  <w:style w:type="character" w:styleId="WW8Num7z0">
    <w:name w:val="WW8Num7z0"/>
    <w:qFormat/>
    <w:rPr>
      <w:rFonts w:ascii="Wingdings" w:hAnsi="Wingdings" w:cs="Wingdings"/>
      <w:sz w:val="12"/>
    </w:rPr>
  </w:style>
  <w:style w:type="character" w:styleId="WW8Num8z0">
    <w:name w:val="WW8Num8z0"/>
    <w:qFormat/>
    <w:rPr>
      <w:rFonts w:ascii="Wingdings" w:hAnsi="Wingdings" w:cs="Wingdings"/>
      <w:sz w:val="12"/>
    </w:rPr>
  </w:style>
  <w:style w:type="character" w:styleId="WW8Num9z0">
    <w:name w:val="WW8Num9z0"/>
    <w:qFormat/>
    <w:rPr>
      <w:rFonts w:ascii="Wingdings" w:hAnsi="Wingdings" w:cs="Wingdings"/>
      <w:sz w:val="12"/>
    </w:rPr>
  </w:style>
  <w:style w:type="character" w:styleId="WW8Num10z0">
    <w:name w:val="WW8Num10z0"/>
    <w:qFormat/>
    <w:rPr>
      <w:rFonts w:ascii="Wingdings" w:hAnsi="Wingdings" w:cs="Wingdings"/>
      <w:sz w:val="12"/>
    </w:rPr>
  </w:style>
  <w:style w:type="character" w:styleId="WW8Num11z0">
    <w:name w:val="WW8Num11z0"/>
    <w:qFormat/>
    <w:rPr>
      <w:rFonts w:ascii="Wingdings" w:hAnsi="Wingdings" w:cs="Wingdings"/>
      <w:sz w:val="12"/>
    </w:rPr>
  </w:style>
  <w:style w:type="character" w:styleId="WW8Num12z0">
    <w:name w:val="WW8Num1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TALOMemo">
    <w:name w:val="TALO Memo"/>
    <w:qFormat/>
    <w:pPr>
      <w:widowControl/>
      <w:tabs>
        <w:tab w:val="clear" w:pos="720"/>
        <w:tab w:val="center" w:pos="4680" w:leader="none"/>
      </w:tabs>
      <w:suppressAutoHyphens w:val="true"/>
      <w:bidi w:val="0"/>
      <w:spacing w:lineRule="auto" w:line="300"/>
    </w:pPr>
    <w:rPr>
      <w:rFonts w:ascii="Univers" w:hAnsi="Univers" w:eastAsia="ＭＳ 明朝" w:cs="Univers"/>
      <w:color w:val="auto"/>
      <w:sz w:val="19"/>
      <w:szCs w:val="20"/>
      <w:lang w:val="en-US" w:eastAsia="zh-CN" w:bidi="hi-IN"/>
    </w:rPr>
  </w:style>
  <w:style w:type="paragraph" w:styleId="BodyText2">
    <w:name w:val="Body Text 2"/>
    <w:basedOn w:val="Normal"/>
    <w:qFormat/>
    <w:pPr>
      <w:jc w:val="start"/>
    </w:pPr>
    <w:rPr>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English Memorandum (US Letter)</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2000-05-02T02:41:00Z</dcterms:created>
  <dc:creator>TALO - B&amp;M User</dc:creator>
  <dc:description/>
  <dc:language>en-CA</dc:language>
  <cp:lastModifiedBy>TALO - B&amp;M User</cp:lastModifiedBy>
  <cp:lastPrinted>2000-05-02T15:00:00Z</cp:lastPrinted>
  <dcterms:modified xsi:type="dcterms:W3CDTF">2000-05-02T03:30:00Z</dcterms:modified>
  <cp:revision>5</cp:revision>
  <dc:subject/>
  <dc:title>English Fax</dc:title>
</cp:coreProperties>
</file>