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rPr>
        <w:drawing>
          <wp:inline distT="0" distB="0" distL="0" distR="0">
            <wp:extent cx="1240790" cy="1112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32" r="-29" b="-32"/>
                    <a:stretch>
                      <a:fillRect/>
                    </a:stretch>
                  </pic:blipFill>
                  <pic:spPr bwMode="auto">
                    <a:xfrm>
                      <a:off x="0" y="0"/>
                      <a:ext cx="1240790" cy="1112520"/>
                    </a:xfrm>
                    <a:prstGeom prst="rect">
                      <a:avLst/>
                    </a:prstGeom>
                    <a:noFill/>
                  </pic:spPr>
                </pic:pic>
              </a:graphicData>
            </a:graphic>
          </wp:inline>
        </w:drawing>
      </w:r>
      <w:r>
        <w:rPr>
          <w:b/>
          <w:i/>
          <w:sz w:val="28"/>
        </w:rPr>
        <w:t>The Power to Deliver</w:t>
      </w:r>
      <w:r>
        <w:rPr/>
        <w:tab/>
        <w:tab/>
      </w:r>
    </w:p>
    <w:p>
      <w:pPr>
        <w:pStyle w:val="BodyTextIndent"/>
        <w:ind w:start="0" w:end="0"/>
        <w:jc w:val="end"/>
        <w:rPr>
          <w:b/>
          <w:i/>
          <w:i/>
        </w:rPr>
      </w:pPr>
      <w:r>
        <w:rPr>
          <w:b/>
          <w:i/>
        </w:rPr>
        <w:t>CONFIDENTIAL</w:t>
      </w:r>
    </w:p>
    <w:p>
      <w:pPr>
        <w:pStyle w:val="BodyTextIndent"/>
        <w:ind w:start="0" w:end="0"/>
        <w:jc w:val="center"/>
        <w:rPr>
          <w:b/>
          <w:i/>
          <w:i/>
        </w:rPr>
      </w:pPr>
      <w:r>
        <w:rPr>
          <w:b/>
          <w:i/>
        </w:rPr>
      </w:r>
    </w:p>
    <w:p>
      <w:pPr>
        <w:pStyle w:val="BodyTextIndent"/>
        <w:ind w:start="0" w:end="0"/>
        <w:jc w:val="center"/>
        <w:rPr/>
      </w:pPr>
      <w:r>
        <w:rPr/>
        <w:t>December 6, 2000</w:t>
      </w:r>
    </w:p>
    <w:p>
      <w:pPr>
        <w:pStyle w:val="BodyTextIndent"/>
        <w:ind w:start="0" w:end="0"/>
        <w:jc w:val="center"/>
        <w:rPr/>
      </w:pPr>
      <w:r>
        <w:rPr/>
        <w:t>(via fax)</w:t>
      </w:r>
    </w:p>
    <w:p>
      <w:pPr>
        <w:pStyle w:val="BodyTextIndent"/>
        <w:ind w:start="0" w:end="0"/>
        <w:rPr/>
      </w:pPr>
      <w:r>
        <w:rPr/>
      </w:r>
    </w:p>
    <w:p>
      <w:pPr>
        <w:pStyle w:val="Normal"/>
        <w:ind w:hanging="1800" w:start="1800" w:end="0"/>
        <w:rPr>
          <w:sz w:val="24"/>
        </w:rPr>
      </w:pPr>
      <w:r>
        <w:rPr>
          <w:sz w:val="24"/>
        </w:rPr>
        <w:t>Terri Clynes</w:t>
      </w:r>
    </w:p>
    <w:p>
      <w:pPr>
        <w:pStyle w:val="Normal"/>
        <w:ind w:hanging="1800" w:start="1800" w:end="0"/>
        <w:rPr>
          <w:sz w:val="24"/>
        </w:rPr>
      </w:pPr>
      <w:r>
        <w:rPr>
          <w:sz w:val="24"/>
        </w:rPr>
        <w:t>Enron Power Marketing, Inc.</w:t>
        <w:tab/>
        <w:tab/>
      </w:r>
    </w:p>
    <w:p>
      <w:pPr>
        <w:pStyle w:val="Normal"/>
        <w:ind w:hanging="1800" w:start="1800" w:end="0"/>
        <w:rPr>
          <w:sz w:val="24"/>
        </w:rPr>
      </w:pPr>
      <w:r>
        <w:rPr>
          <w:sz w:val="24"/>
        </w:rPr>
        <w:t>1400 Smith Street</w:t>
      </w:r>
    </w:p>
    <w:p>
      <w:pPr>
        <w:pStyle w:val="Normal"/>
        <w:ind w:hanging="1800" w:start="1800" w:end="0"/>
        <w:rPr>
          <w:sz w:val="24"/>
        </w:rPr>
      </w:pPr>
      <w:r>
        <w:rPr>
          <w:sz w:val="24"/>
        </w:rPr>
        <w:t>Houston, Texas  77002</w:t>
      </w:r>
    </w:p>
    <w:p>
      <w:pPr>
        <w:pStyle w:val="Normal"/>
        <w:ind w:hanging="1800" w:start="1800" w:end="0"/>
        <w:rPr>
          <w:sz w:val="24"/>
        </w:rPr>
      </w:pPr>
      <w:r>
        <w:rPr>
          <w:sz w:val="24"/>
        </w:rPr>
        <w:t>Fax:  713/646-8272</w:t>
      </w:r>
    </w:p>
    <w:p>
      <w:pPr>
        <w:pStyle w:val="Normal"/>
        <w:ind w:hanging="1800" w:start="1800" w:end="0"/>
        <w:rPr>
          <w:sz w:val="24"/>
        </w:rPr>
      </w:pPr>
      <w:r>
        <w:rPr>
          <w:sz w:val="24"/>
        </w:rPr>
      </w:r>
    </w:p>
    <w:p>
      <w:pPr>
        <w:pStyle w:val="Normal"/>
        <w:ind w:hanging="1800" w:start="1800" w:end="0"/>
        <w:jc w:val="center"/>
        <w:rPr>
          <w:b/>
          <w:sz w:val="24"/>
          <w:u w:val="single"/>
        </w:rPr>
      </w:pPr>
      <w:r>
        <w:rPr>
          <w:b/>
          <w:sz w:val="24"/>
          <w:u w:val="single"/>
        </w:rPr>
        <w:t>CONFIRMATION AGREEMENT</w:t>
      </w:r>
    </w:p>
    <w:p>
      <w:pPr>
        <w:pStyle w:val="Normal"/>
        <w:ind w:hanging="1800" w:start="1800" w:end="0"/>
        <w:rPr>
          <w:b/>
          <w:sz w:val="24"/>
          <w:u w:val="single"/>
        </w:rPr>
      </w:pPr>
      <w:r>
        <w:rPr>
          <w:b/>
          <w:sz w:val="24"/>
          <w:u w:val="single"/>
        </w:rPr>
      </w:r>
    </w:p>
    <w:p>
      <w:pPr>
        <w:pStyle w:val="BodyTextIndent"/>
        <w:ind w:start="0" w:end="0"/>
        <w:rPr/>
      </w:pPr>
      <w:r>
        <w:rPr/>
        <w:t>This confirmation Agreement (this “Agreement”) shall confirm the agreement reached on December 1, 2000, between Split Rock Energy LLC (“Split Rock”) and Enron Power Marketing, Inc. (“EPMI”) regarding the sale of System Participation Power under the terms and conditions that follow:</w:t>
      </w:r>
    </w:p>
    <w:p>
      <w:pPr>
        <w:pStyle w:val="BodyTextIndent"/>
        <w:ind w:start="0" w:end="0"/>
        <w:rPr/>
      </w:pPr>
      <w:r>
        <w:rPr/>
      </w:r>
    </w:p>
    <w:p>
      <w:pPr>
        <w:pStyle w:val="BodyTextIndent"/>
        <w:ind w:hanging="2430" w:start="2430" w:end="0"/>
        <w:rPr/>
      </w:pPr>
      <w:r>
        <w:rPr/>
        <w:t>Selling Party:</w:t>
        <w:tab/>
        <w:t>Split Rock</w:t>
      </w:r>
    </w:p>
    <w:p>
      <w:pPr>
        <w:pStyle w:val="BodyTextIndent"/>
        <w:ind w:hanging="2430" w:start="2430" w:end="0"/>
        <w:rPr/>
      </w:pPr>
      <w:r>
        <w:rPr/>
      </w:r>
    </w:p>
    <w:p>
      <w:pPr>
        <w:pStyle w:val="BodyTextIndent"/>
        <w:ind w:hanging="2430" w:start="2430" w:end="0"/>
        <w:rPr/>
      </w:pPr>
      <w:r>
        <w:rPr/>
        <w:t>Purchasing Party:</w:t>
        <w:tab/>
        <w:t>EPMI</w:t>
      </w:r>
    </w:p>
    <w:p>
      <w:pPr>
        <w:pStyle w:val="BodyTextIndent"/>
        <w:ind w:hanging="2430" w:start="2430" w:end="0"/>
        <w:rPr/>
      </w:pPr>
      <w:r>
        <w:rPr/>
      </w:r>
    </w:p>
    <w:p>
      <w:pPr>
        <w:pStyle w:val="Normal"/>
        <w:rPr>
          <w:sz w:val="24"/>
        </w:rPr>
      </w:pPr>
      <w:r>
        <w:rPr>
          <w:sz w:val="24"/>
        </w:rPr>
        <w:t>Independent</w:t>
      </w:r>
    </w:p>
    <w:p>
      <w:pPr>
        <w:pStyle w:val="BodyTextIndent3"/>
        <w:ind w:hanging="2430" w:start="2430" w:end="0"/>
        <w:rPr/>
      </w:pPr>
      <w:r>
        <w:rPr/>
        <w:t>Contractor:</w:t>
        <w:tab/>
        <w:t>MPEX is the marketing and trading contractor authorized to enter into and schedule purchase / sale commitments for Split Rock Energy LLC.</w:t>
      </w:r>
    </w:p>
    <w:p>
      <w:pPr>
        <w:pStyle w:val="BodyTextIndent"/>
        <w:ind w:hanging="2430" w:start="2430" w:end="0"/>
        <w:rPr/>
      </w:pPr>
      <w:r>
        <w:rPr/>
      </w:r>
    </w:p>
    <w:p>
      <w:pPr>
        <w:pStyle w:val="BodyTextIndent"/>
        <w:ind w:hanging="2430" w:start="2430" w:end="0"/>
        <w:rPr/>
      </w:pPr>
      <w:r>
        <w:rPr/>
        <w:t>Governing Agreement:</w:t>
        <w:tab/>
        <w:t>Master Power Purchase &amp; Sale Agreement between EPMI and Split Rock, dated December __, 2000</w:t>
      </w:r>
    </w:p>
    <w:p>
      <w:pPr>
        <w:pStyle w:val="BodyTextIndent"/>
        <w:ind w:hanging="2430" w:start="2430" w:end="0"/>
        <w:rPr/>
      </w:pPr>
      <w:r>
        <w:rPr/>
      </w:r>
    </w:p>
    <w:p>
      <w:pPr>
        <w:pStyle w:val="BodyTextIndent"/>
        <w:ind w:hanging="2430" w:start="2430" w:end="0"/>
        <w:rPr/>
      </w:pPr>
      <w:r>
        <w:rPr/>
        <w:t>Transaction Type:</w:t>
        <w:tab/>
        <w:t xml:space="preserve">Equivalent to Mid-Continent Area Power Pool (“MAPP”) System Participation – Service Schedule K, accredited capacity </w:t>
      </w:r>
      <w:r>
        <w:rPr>
          <w:b/>
          <w:u w:val="single"/>
        </w:rPr>
        <w:t>without</w:t>
      </w:r>
      <w:r>
        <w:rPr/>
        <w:t xml:space="preserve"> reserves.</w:t>
      </w:r>
    </w:p>
    <w:p>
      <w:pPr>
        <w:pStyle w:val="BodyTextIndent"/>
        <w:ind w:hanging="2430" w:start="2430" w:end="0"/>
        <w:rPr/>
      </w:pPr>
      <w:r>
        <w:rPr/>
      </w:r>
    </w:p>
    <w:p>
      <w:pPr>
        <w:pStyle w:val="BodyTextIndent"/>
        <w:ind w:hanging="2430" w:start="2430" w:end="0"/>
        <w:rPr/>
      </w:pPr>
      <w:r>
        <w:rPr/>
        <w:t>Contract Term:</w:t>
        <w:tab/>
        <w:t>Tuesday, May 1, 2001 through Tuesday, October 31, 2001</w:t>
      </w:r>
    </w:p>
    <w:p>
      <w:pPr>
        <w:pStyle w:val="BodyTextIndent"/>
        <w:ind w:hanging="2430" w:start="2430" w:end="0"/>
        <w:rPr/>
      </w:pPr>
      <w:r>
        <w:rPr/>
      </w:r>
    </w:p>
    <w:p>
      <w:pPr>
        <w:pStyle w:val="BodyTextIndent"/>
        <w:ind w:hanging="2430" w:start="2430" w:end="0"/>
        <w:rPr/>
      </w:pPr>
      <w:r>
        <w:rPr/>
        <w:t>Delivery Period:</w:t>
        <w:tab/>
        <w:t>A fixed schedule for the Contract Amount for Hour End 0700 – Hour End 2200 (Central Prevailing Time) Monday through Friday (5 x 16) excluding NERC holidays Memorial Day, Independence Day, and Labor Day.</w:t>
      </w:r>
    </w:p>
    <w:p>
      <w:pPr>
        <w:pStyle w:val="BodyTextIndent"/>
        <w:ind w:hanging="2430" w:start="2430" w:end="0"/>
        <w:rPr/>
      </w:pPr>
      <w:r>
        <w:rPr/>
        <w:tab/>
      </w:r>
    </w:p>
    <w:p>
      <w:pPr>
        <w:pStyle w:val="BodyTextIndent"/>
        <w:ind w:hanging="2430" w:start="2430" w:end="0"/>
        <w:rPr/>
      </w:pPr>
      <w:r>
        <w:rPr/>
        <w:t>Contract Amount:</w:t>
        <w:tab/>
        <w:t>50 MW</w:t>
      </w:r>
    </w:p>
    <w:p>
      <w:pPr>
        <w:pStyle w:val="BodyTextIndent"/>
        <w:ind w:hanging="2430" w:start="2430" w:end="0"/>
        <w:rPr/>
      </w:pPr>
      <w:r>
        <w:rPr/>
      </w:r>
    </w:p>
    <w:p>
      <w:pPr>
        <w:pStyle w:val="BodyTextIndent"/>
        <w:ind w:hanging="2430" w:start="2430" w:end="0"/>
        <w:rPr/>
      </w:pPr>
      <w:r>
        <w:rPr/>
        <w:t>Capacity Charge:</w:t>
        <w:tab/>
        <w:t>$5,000/MW Month</w:t>
      </w:r>
    </w:p>
    <w:p>
      <w:pPr>
        <w:pStyle w:val="BodyTextIndent"/>
        <w:ind w:hanging="2430" w:start="2430" w:end="0"/>
        <w:rPr/>
      </w:pPr>
      <w:r>
        <w:rPr/>
      </w:r>
    </w:p>
    <w:p>
      <w:pPr>
        <w:pStyle w:val="BodyTextIndent"/>
        <w:ind w:hanging="2430" w:start="2430" w:end="0"/>
        <w:rPr/>
      </w:pPr>
      <w:r>
        <w:rPr/>
        <w:t>Energy Charge:</w:t>
        <w:tab/>
        <w:t>For fixed schedule outlined in Delivery Period section, see pricing detail in Exhibit A.</w:t>
      </w:r>
    </w:p>
    <w:p>
      <w:pPr>
        <w:pStyle w:val="BodyTextIndent"/>
        <w:ind w:hanging="2430" w:start="2430" w:end="0"/>
        <w:rPr/>
      </w:pPr>
      <w:r>
        <w:rPr/>
      </w:r>
    </w:p>
    <w:p>
      <w:pPr>
        <w:pStyle w:val="BodyTextIndent"/>
        <w:ind w:hanging="2430" w:start="2430" w:end="0"/>
        <w:rPr/>
      </w:pPr>
      <w:r>
        <w:rPr/>
        <w:tab/>
        <w:t>All other hours available at market rate as quoted by the MPEX traders at the time of Enron’s request.</w:t>
      </w:r>
    </w:p>
    <w:p>
      <w:pPr>
        <w:pStyle w:val="BodyTextIndent"/>
        <w:ind w:hanging="2430" w:start="2430" w:end="0"/>
        <w:rPr/>
      </w:pPr>
      <w:r>
        <w:rPr/>
        <w:tab/>
      </w:r>
    </w:p>
    <w:p>
      <w:pPr>
        <w:pStyle w:val="BodyTextIndent"/>
        <w:ind w:hanging="2430" w:start="2430" w:end="0"/>
        <w:rPr/>
      </w:pPr>
      <w:r>
        <w:rPr/>
        <w:t>Minimum Take:</w:t>
        <w:tab/>
        <w:t>EPMI will schedule and receive the Contract Amount during each hour of the Delivery Period during the Contract Term.</w:t>
      </w:r>
    </w:p>
    <w:p>
      <w:pPr>
        <w:pStyle w:val="BodyTextIndent"/>
        <w:ind w:hanging="2430" w:start="2430" w:end="0"/>
        <w:rPr/>
      </w:pPr>
      <w:r>
        <w:rPr/>
      </w:r>
    </w:p>
    <w:p>
      <w:pPr>
        <w:pStyle w:val="BodyTextIndent"/>
        <w:ind w:hanging="2430" w:start="2430" w:end="0"/>
        <w:rPr/>
      </w:pPr>
      <w:r>
        <w:rPr/>
        <w:t>Point of Delivery:</w:t>
        <w:tab/>
        <w:t>The Point of Delivery (POD) shall be Dickinson.</w:t>
      </w:r>
    </w:p>
    <w:p>
      <w:pPr>
        <w:pStyle w:val="BodyTextIndent"/>
        <w:ind w:hanging="2430" w:start="2430" w:end="0"/>
        <w:rPr/>
      </w:pPr>
      <w:r>
        <w:rPr/>
      </w:r>
    </w:p>
    <w:p>
      <w:pPr>
        <w:pStyle w:val="BodyTextIndent2"/>
        <w:rPr/>
      </w:pPr>
      <w:r>
        <w:rPr/>
        <w:t>Transmission:</w:t>
        <w:tab/>
        <w:t xml:space="preserve">EPMI shall pay all delivery costs to service this transaction from the POD(s) (including applicable MAPP administrative and transmission service charges) to EPMI’s final destination.  EPMI shall be responsible for arranging MAPP Firm Capacity Transmission Service (FCTS) necessary to deliver firm power from the POD(s) to EPMI’s final destination, including tagging and OASIS, in a timely manner for this transaction.  </w:t>
      </w:r>
    </w:p>
    <w:p>
      <w:pPr>
        <w:pStyle w:val="Normal"/>
        <w:ind w:hanging="1800" w:start="1800" w:end="0"/>
        <w:rPr>
          <w:sz w:val="24"/>
        </w:rPr>
      </w:pPr>
      <w:r>
        <w:rPr>
          <w:sz w:val="24"/>
        </w:rPr>
      </w:r>
    </w:p>
    <w:p>
      <w:pPr>
        <w:pStyle w:val="Normal"/>
        <w:ind w:start="2430" w:end="0"/>
        <w:rPr>
          <w:sz w:val="24"/>
        </w:rPr>
      </w:pPr>
      <w:r>
        <w:rPr>
          <w:sz w:val="24"/>
        </w:rPr>
        <w:t>In the event that this transaction is curtailed due to utilization of a non-firm transmission path, EPRI will pay the Energy Charge for the Delivery Period, as if the energy flowed.</w:t>
      </w:r>
    </w:p>
    <w:p>
      <w:pPr>
        <w:pStyle w:val="BodyTextIndent"/>
        <w:ind w:hanging="2430" w:start="2430" w:end="0"/>
        <w:rPr>
          <w:sz w:val="24"/>
        </w:rPr>
      </w:pPr>
      <w:r>
        <w:rPr>
          <w:sz w:val="24"/>
        </w:rPr>
      </w:r>
    </w:p>
    <w:p>
      <w:pPr>
        <w:pStyle w:val="BodyTextIndent"/>
        <w:ind w:hanging="2430" w:start="2430" w:end="0"/>
        <w:rPr/>
      </w:pPr>
      <w:r>
        <w:rPr/>
        <w:t>Losses:</w:t>
        <w:tab/>
        <w:t>Energy losses incurred under the MAPP Loss Reimbursement Procedure (LRP) associated with transmitting energy from the POD to EPMI’s final destination shall be added to the Energy Charge.  The LRP loss percentage factors will change on a weekly basis (and are calculated by MAPPCOR staff).</w:t>
      </w:r>
    </w:p>
    <w:p>
      <w:pPr>
        <w:pStyle w:val="BodyTextIndent"/>
        <w:ind w:hanging="2430" w:start="2430" w:end="0"/>
        <w:rPr/>
      </w:pPr>
      <w:r>
        <w:rPr/>
      </w:r>
    </w:p>
    <w:p>
      <w:pPr>
        <w:pStyle w:val="BodyTextIndent"/>
        <w:ind w:hanging="2430" w:start="2430" w:end="0"/>
        <w:rPr/>
      </w:pPr>
      <w:r>
        <w:rPr/>
        <w:t>Scheduling:</w:t>
        <w:tab/>
        <w:t>EPMI shall schedule energy by 8:30 a.m. the workday preceding delivery.</w:t>
      </w:r>
    </w:p>
    <w:p>
      <w:pPr>
        <w:pStyle w:val="BodyTextIndent"/>
        <w:ind w:hanging="2430" w:start="2430" w:end="0"/>
        <w:rPr/>
      </w:pPr>
      <w:r>
        <w:rPr/>
      </w:r>
    </w:p>
    <w:p>
      <w:pPr>
        <w:pStyle w:val="BodyTextIndent"/>
        <w:ind w:hanging="2430" w:start="2430" w:end="0"/>
        <w:rPr/>
      </w:pPr>
      <w:r>
        <w:rPr/>
        <w:t>Contingency:</w:t>
        <w:tab/>
        <w:t>This agreement is contingent upon Enron and Split Rock entering into a Master Power Purchase &amp; Sale Agreement by December 15, 2000.</w:t>
      </w:r>
    </w:p>
    <w:p>
      <w:pPr>
        <w:pStyle w:val="BodyTextIndent"/>
        <w:ind w:hanging="2430" w:start="2430" w:end="0"/>
        <w:rPr/>
      </w:pPr>
      <w:r>
        <w:rPr/>
      </w:r>
    </w:p>
    <w:p>
      <w:pPr>
        <w:pStyle w:val="BodyTextIndent"/>
        <w:ind w:hanging="2430" w:start="2430" w:end="0"/>
        <w:rPr/>
      </w:pPr>
      <w:r>
        <w:rPr/>
        <w:t>Confidentiality:</w:t>
        <w:tab/>
        <w:t>Neither Party will disclose the terms of this Agreement to a third party (other than to its affiliates, employees, lenders, counsel or accountants who have agreed to keep such terms confidential) except in order to comply with any applicable law, order, regulation or rule, provided that each Party will notify the other of any proceeding of which it is aware which may result in disclosure.  The Parties will be entitled to all remedies at law or in equity to enforce or seek relief in connection with this confidentiality obligation; provided all monetary damages will be limited to actual direct damages.</w:t>
      </w:r>
    </w:p>
    <w:p>
      <w:pPr>
        <w:pStyle w:val="BodyTextIndent"/>
        <w:ind w:hanging="2430" w:start="2430" w:end="0"/>
        <w:rPr/>
      </w:pPr>
      <w:r>
        <w:rPr/>
      </w:r>
    </w:p>
    <w:p>
      <w:pPr>
        <w:pStyle w:val="BodyTextIndent"/>
        <w:ind w:start="0" w:end="0"/>
        <w:rPr/>
      </w:pPr>
      <w:r>
        <w:rPr/>
        <w:t>Please confirm that the terms stated herein accurately reflect the agreement reached on December 1, 2000, between EPMI and Split Rock by returning an executed copy of this Agreement by facsimile to MPEX at (612) 332-2893.  Your response should reflect the appropriate party in your organization who has the authority to enter into this Confirmation Agreement.  If EPMI has any questions, please direct them to Pam Sarvela at (218) 720-2691.</w:t>
      </w:r>
    </w:p>
    <w:p>
      <w:pPr>
        <w:pStyle w:val="BodyTextIndent"/>
        <w:ind w:start="0" w:end="0"/>
        <w:rPr/>
      </w:pPr>
      <w:r>
        <w:rPr/>
      </w:r>
    </w:p>
    <w:p>
      <w:pPr>
        <w:pStyle w:val="BodyTextIndent"/>
        <w:ind w:start="0" w:end="0"/>
        <w:rPr/>
      </w:pPr>
      <w:r>
        <w:rPr/>
        <w:t>AGREED and ACCEPTED BY:</w:t>
      </w:r>
    </w:p>
    <w:p>
      <w:pPr>
        <w:pStyle w:val="BodyTextIndent"/>
        <w:ind w:start="0" w:end="0"/>
        <w:rPr/>
      </w:pPr>
      <w:r>
        <w:rPr/>
      </w:r>
    </w:p>
    <w:p>
      <w:pPr>
        <w:pStyle w:val="BodyTextIndent"/>
        <w:ind w:start="0" w:end="0"/>
        <w:rPr/>
      </w:pPr>
      <w:r>
        <w:rPr/>
        <w:t>Enron Power Marketing, Inc.</w:t>
        <w:tab/>
        <w:tab/>
        <w:tab/>
        <w:t>Split Rock Energy LLC</w:t>
      </w:r>
    </w:p>
    <w:p>
      <w:pPr>
        <w:pStyle w:val="BodyTextIndent"/>
        <w:ind w:start="0" w:end="0"/>
        <w:rPr/>
      </w:pPr>
      <w:r>
        <w:rPr/>
      </w:r>
    </w:p>
    <w:p>
      <w:pPr>
        <w:pStyle w:val="BodyTextIndent"/>
        <w:ind w:start="0" w:end="0"/>
        <w:rPr/>
      </w:pPr>
      <w:r>
        <w:rPr/>
        <w:t>By:  ________________________</w:t>
        <w:tab/>
        <w:tab/>
        <w:t>By:____________________________</w:t>
      </w:r>
    </w:p>
    <w:p>
      <w:pPr>
        <w:pStyle w:val="BodyTextIndent"/>
        <w:ind w:start="0" w:end="0"/>
        <w:rPr/>
      </w:pPr>
      <w:r>
        <w:rPr/>
      </w:r>
    </w:p>
    <w:p>
      <w:pPr>
        <w:pStyle w:val="BodyTextIndent"/>
        <w:ind w:start="0" w:end="0"/>
        <w:rPr/>
      </w:pPr>
      <w:r>
        <w:rPr/>
        <w:t>Title: _______________________</w:t>
        <w:tab/>
        <w:tab/>
        <w:t>Title:  Vice President – MPEX</w:t>
      </w:r>
    </w:p>
    <w:p>
      <w:pPr>
        <w:pStyle w:val="BodyTextIndent"/>
        <w:ind w:start="0" w:end="-180"/>
        <w:rPr/>
      </w:pPr>
      <w:r>
        <w:rPr/>
        <w:tab/>
        <w:tab/>
        <w:tab/>
        <w:tab/>
        <w:tab/>
        <w:tab/>
        <w:tab/>
        <w:t>Independent Contractor for Split Rock</w:t>
      </w:r>
    </w:p>
    <w:p>
      <w:pPr>
        <w:pStyle w:val="BodyTextIndent"/>
        <w:ind w:start="0" w:end="0"/>
        <w:rPr/>
      </w:pPr>
      <w:r>
        <w:rPr/>
      </w:r>
    </w:p>
    <w:p>
      <w:pPr>
        <w:pStyle w:val="BodyTextIndent"/>
        <w:ind w:start="0" w:end="0"/>
        <w:rPr/>
      </w:pPr>
      <w:r>
        <w:rPr/>
        <w:t>Date:________________________</w:t>
        <w:tab/>
        <w:tab/>
        <w:t>Date:___________________________</w:t>
      </w:r>
    </w:p>
    <w:p>
      <w:pPr>
        <w:pStyle w:val="BodyTextIndent"/>
        <w:ind w:start="0" w:end="0"/>
        <w:rPr/>
      </w:pPr>
      <w:r>
        <w:rPr/>
      </w:r>
      <w:r>
        <w:br w:type="page"/>
      </w:r>
    </w:p>
    <w:p>
      <w:pPr>
        <w:pStyle w:val="BodyTextIndent"/>
        <w:ind w:start="0" w:end="0"/>
        <w:jc w:val="center"/>
        <w:rPr>
          <w:b/>
          <w:sz w:val="28"/>
        </w:rPr>
      </w:pPr>
      <w:r>
        <w:rPr>
          <w:b/>
          <w:sz w:val="28"/>
        </w:rPr>
        <w:t>Exhibit A</w:t>
      </w:r>
    </w:p>
    <w:p>
      <w:pPr>
        <w:pStyle w:val="BodyTextIndent"/>
        <w:ind w:start="0" w:end="0"/>
        <w:jc w:val="center"/>
        <w:rPr>
          <w:b/>
          <w:sz w:val="28"/>
        </w:rPr>
      </w:pPr>
      <w:r>
        <w:rPr>
          <w:b/>
          <w:sz w:val="28"/>
        </w:rPr>
      </w:r>
    </w:p>
    <w:p>
      <w:pPr>
        <w:pStyle w:val="BodyTextIndent"/>
        <w:ind w:start="0" w:end="0"/>
        <w:jc w:val="center"/>
        <w:rPr>
          <w:b/>
          <w:sz w:val="28"/>
        </w:rPr>
      </w:pPr>
      <w:r>
        <w:rPr>
          <w:b/>
          <w:sz w:val="28"/>
        </w:rPr>
        <w:t>Financially Firm Energy Portion of</w:t>
      </w:r>
    </w:p>
    <w:p>
      <w:pPr>
        <w:pStyle w:val="BodyTextIndent"/>
        <w:ind w:start="0" w:end="0"/>
        <w:jc w:val="center"/>
        <w:rPr>
          <w:b/>
          <w:sz w:val="28"/>
        </w:rPr>
      </w:pPr>
      <w:r>
        <w:rPr>
          <w:b/>
          <w:sz w:val="28"/>
        </w:rPr>
      </w:r>
    </w:p>
    <w:p>
      <w:pPr>
        <w:pStyle w:val="BodyTextIndent"/>
        <w:ind w:start="0" w:end="0"/>
        <w:jc w:val="center"/>
        <w:rPr>
          <w:b/>
          <w:sz w:val="28"/>
        </w:rPr>
      </w:pPr>
      <w:r>
        <w:rPr>
          <w:b/>
          <w:sz w:val="28"/>
        </w:rPr>
        <w:t>Service Schedule K – System Participation Contract</w:t>
      </w:r>
    </w:p>
    <w:p>
      <w:pPr>
        <w:pStyle w:val="BodyTextIndent"/>
        <w:ind w:start="0" w:end="0"/>
        <w:rPr>
          <w:b/>
          <w:sz w:val="28"/>
        </w:rPr>
      </w:pPr>
      <w:r>
        <w:rPr>
          <w:b/>
          <w:sz w:val="28"/>
        </w:rPr>
      </w:r>
    </w:p>
    <w:p>
      <w:pPr>
        <w:pStyle w:val="BodyTextIndent"/>
        <w:ind w:start="0" w:end="0"/>
        <w:rPr/>
      </w:pPr>
      <w:r>
        <w:rPr/>
        <w:t>The energy portion of this contract shall be Financially Firm, guaranteed by Split Rock.  The terms and conditions for the fixed energy schedule identified in the Delivery Period section shall be as follows:</w:t>
      </w:r>
    </w:p>
    <w:p>
      <w:pPr>
        <w:pStyle w:val="BodyTextIndent"/>
        <w:ind w:start="0" w:end="0"/>
        <w:rPr/>
      </w:pPr>
      <w:r>
        <w:rPr/>
      </w:r>
    </w:p>
    <w:p>
      <w:pPr>
        <w:pStyle w:val="BodyTextIndent"/>
        <w:ind w:hanging="2430" w:start="2430" w:end="0"/>
        <w:rPr/>
      </w:pPr>
      <w:r>
        <w:rPr/>
        <w:tab/>
      </w:r>
      <w:r>
        <w:rPr>
          <w:u w:val="single"/>
        </w:rPr>
        <w:t>Month</w:t>
      </w:r>
      <w:r>
        <w:rPr/>
        <w:tab/>
        <w:tab/>
      </w:r>
      <w:r>
        <w:rPr>
          <w:u w:val="single"/>
        </w:rPr>
        <w:t>$/MWh</w:t>
      </w:r>
      <w:r>
        <w:rPr/>
        <w:tab/>
        <w:tab/>
      </w:r>
      <w:r>
        <w:rPr>
          <w:u w:val="single"/>
        </w:rPr>
        <w:t>Minimum Take</w:t>
      </w:r>
    </w:p>
    <w:p>
      <w:pPr>
        <w:pStyle w:val="BodyTextIndent"/>
        <w:ind w:hanging="2430" w:start="2430" w:end="0"/>
        <w:rPr/>
      </w:pPr>
      <w:r>
        <w:rPr/>
        <w:t>Energy Charge:</w:t>
        <w:tab/>
        <w:t>May, 2001</w:t>
        <w:tab/>
        <w:tab/>
        <w:t>$60</w:t>
        <w:tab/>
        <w:tab/>
        <w:tab/>
        <w:t>17,600 MWh</w:t>
      </w:r>
    </w:p>
    <w:p>
      <w:pPr>
        <w:pStyle w:val="BodyTextIndent"/>
        <w:ind w:hanging="2430" w:start="2430" w:end="0"/>
        <w:rPr/>
      </w:pPr>
      <w:r>
        <w:rPr/>
        <w:tab/>
        <w:t>June, 2001</w:t>
        <w:tab/>
        <w:tab/>
        <w:t>$69</w:t>
        <w:tab/>
        <w:tab/>
        <w:tab/>
        <w:t>16,800 MWh</w:t>
      </w:r>
    </w:p>
    <w:p>
      <w:pPr>
        <w:pStyle w:val="BodyTextIndent"/>
        <w:ind w:hanging="2430" w:start="2430" w:end="0"/>
        <w:rPr/>
      </w:pPr>
      <w:r>
        <w:rPr/>
        <w:tab/>
        <w:t>July, 2001</w:t>
        <w:tab/>
        <w:tab/>
        <w:t>$100</w:t>
        <w:tab/>
        <w:tab/>
        <w:tab/>
        <w:t>16,800 MWh</w:t>
      </w:r>
    </w:p>
    <w:p>
      <w:pPr>
        <w:pStyle w:val="BodyTextIndent"/>
        <w:ind w:hanging="2430" w:start="2430" w:end="0"/>
        <w:rPr/>
      </w:pPr>
      <w:r>
        <w:rPr/>
        <w:tab/>
        <w:t>August, 2001</w:t>
        <w:tab/>
        <w:t>$100</w:t>
        <w:tab/>
        <w:tab/>
        <w:tab/>
        <w:t>18,400 MWh</w:t>
      </w:r>
    </w:p>
    <w:p>
      <w:pPr>
        <w:pStyle w:val="BodyTextIndent"/>
        <w:ind w:hanging="2430" w:start="2430" w:end="0"/>
        <w:rPr/>
      </w:pPr>
      <w:r>
        <w:rPr/>
        <w:tab/>
        <w:t>September, 2001</w:t>
        <w:tab/>
        <w:t>$46</w:t>
        <w:tab/>
        <w:tab/>
        <w:tab/>
        <w:t>15,200 MWh</w:t>
      </w:r>
    </w:p>
    <w:p>
      <w:pPr>
        <w:pStyle w:val="BodyTextIndent"/>
        <w:ind w:hanging="2430" w:start="2430" w:end="0"/>
        <w:rPr/>
      </w:pPr>
      <w:r>
        <w:rPr/>
        <w:tab/>
        <w:t>October, 2001</w:t>
        <w:tab/>
        <w:t>$42</w:t>
        <w:tab/>
        <w:tab/>
        <w:tab/>
        <w:t>18,400 MWh</w:t>
      </w:r>
    </w:p>
    <w:p>
      <w:pPr>
        <w:pStyle w:val="BodyTextIndent"/>
        <w:ind w:start="0" w:end="0"/>
        <w:rPr/>
      </w:pPr>
      <w:r>
        <w:rPr/>
      </w:r>
    </w:p>
    <w:p>
      <w:pPr>
        <w:pStyle w:val="BodyTextIndent"/>
        <w:ind w:hanging="2430" w:start="2430" w:end="0"/>
        <w:rPr/>
      </w:pPr>
      <w:r>
        <w:rPr/>
        <w:t xml:space="preserve">Financial Guarantee </w:t>
      </w:r>
    </w:p>
    <w:p>
      <w:pPr>
        <w:pStyle w:val="BodyTextIndent"/>
        <w:ind w:hanging="2430" w:start="2430" w:end="0"/>
        <w:rPr/>
      </w:pPr>
      <w:r>
        <w:rPr/>
        <w:t>On Energy Price:</w:t>
        <w:tab/>
        <w:t>In the event EPMI schedules and Split Rock fails to schedule and to deliver the Contract Amount at the Energy Charge specified herein, where such failure was not excused by Force Majeure or by EPMI’s non-performance, Split Rock shall pay EPMI (on the date payment would otherwise be due under this transaction) an amount for each MWH of such deficiency equal to the result of: (i) the price at which EPMI is, or would be able, to purchase or otherwise receive comparable supplies of energy at a commercially reasonable price (adjusted to reflect differences in transmission costs, if any, incurred by EPMI as a consequence of Split Rock’s failure to perform) minus (ii) the Energy Charge, provided, however, if the amount determined in the preceding clause (i) is negative, then the amount shall be equal to zero for purposes of calculating the deficiency payment.</w:t>
      </w:r>
    </w:p>
    <w:p>
      <w:pPr>
        <w:pStyle w:val="BodyTextIndent"/>
        <w:ind w:hanging="2430" w:start="2430" w:end="0"/>
        <w:rPr/>
      </w:pPr>
      <w:r>
        <w:rPr/>
      </w:r>
    </w:p>
    <w:p>
      <w:pPr>
        <w:pStyle w:val="BodyTextIndent"/>
        <w:ind w:hanging="2430" w:start="2430" w:end="0"/>
        <w:rPr/>
      </w:pPr>
      <w:r>
        <w:rPr/>
        <w:tab/>
        <w:t>In the event EPMI fails to schedule and to receive the Contract Amount, where such failure was not excused by Force Majeure or by Split Rock’s non-performance, EPMI shall pay Split Rock (on the date payment would otherwise be due under this transaction) an amount for each MWH of such deficiency equal to the result of: (i) the Energy Charge reflected herein minus (ii) the price at which Split Rock is, or would be able, to sell or otherwise dispose of comparable supplies of energy at a commercially reasonable price (adjusted to reflect differences in transmission costs, if any, incurred by Split Rock as a consequence of EPMI’s failure to perform ); provided however, if the amount determined in the preceding clause (i) is negative, then the amount shall be equal to zero for purposes of calculating the deficiency payment.  For purposes of this Agreement, energy curtailments due to MAPP or other regional transmission line loading relief shall be considered a force majeure event only if transmission service curtailed is firm transmission (equivalent to MAPP’s Firm Capacity Transmission Service).</w:t>
      </w:r>
    </w:p>
    <w:p>
      <w:pPr>
        <w:pStyle w:val="BodyTextIndent"/>
        <w:ind w:hanging="2430" w:start="2430" w:end="0"/>
        <w:rPr/>
      </w:pPr>
      <w:r>
        <w:rPr/>
      </w:r>
    </w:p>
    <w:p>
      <w:pPr>
        <w:pStyle w:val="BodyTextIndent"/>
        <w:ind w:hanging="2430" w:start="2430" w:end="0"/>
        <w:rPr/>
      </w:pPr>
      <w:r>
        <w:rPr/>
        <w:tab/>
        <w:t>EPMI and Split Rock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section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ind w:hanging="2430" w:start="2430" w:end="0"/>
        <w:rPr/>
      </w:pPr>
      <w:r>
        <w:rPr/>
      </w:r>
    </w:p>
    <w:p>
      <w:pPr>
        <w:pStyle w:val="BodyTextIndent"/>
        <w:ind w:hanging="2430" w:start="2430" w:end="0"/>
        <w:rPr/>
      </w:pPr>
      <w:r>
        <w:rPr/>
        <w:tab/>
        <w:t>Each Party agrees that it has a duty to mitigate damages and covenants that it will use commercially reasonable efforts to minimize any damages it may incur as a result of the other Party’s performance or non-performance of this Agreement.</w:t>
      </w:r>
    </w:p>
    <w:p>
      <w:pPr>
        <w:pStyle w:val="BodyTextIndent"/>
        <w:ind w:hanging="2430" w:start="2430" w:end="0"/>
        <w:rPr/>
      </w:pPr>
      <w:r>
        <w:rPr/>
      </w:r>
    </w:p>
    <w:p>
      <w:pPr>
        <w:pStyle w:val="BodyTextIndent"/>
        <w:ind w:start="0" w:end="0"/>
        <w:rPr/>
      </w:pPr>
      <w:r>
        <w:rPr/>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9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2160" w:start="2160" w:end="0"/>
    </w:pPr>
    <w:rPr>
      <w:sz w:val="24"/>
      <w:lang w:eastAsia="en-US"/>
    </w:rPr>
  </w:style>
  <w:style w:type="paragraph" w:styleId="BodyTextIndent2">
    <w:name w:val="Body Text Indent 2"/>
    <w:basedOn w:val="Normal"/>
    <w:qFormat/>
    <w:pPr>
      <w:ind w:hanging="2430" w:start="243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2000-12-05T15:45:00Z</dcterms:created>
  <dc:creator>Pamela M Sarvela</dc:creator>
  <dc:description/>
  <dc:language>en-CA</dc:language>
  <cp:lastModifiedBy>Pamela M Sarvela</cp:lastModifiedBy>
  <cp:lastPrinted>2000-12-05T14:34:00Z</cp:lastPrinted>
  <dcterms:modified xsi:type="dcterms:W3CDTF">2000-12-06T15:01:00Z</dcterms:modified>
  <cp:revision>32</cp:revision>
  <dc:subject/>
  <dc:title>Financially Firm Energy Transaction</dc:title>
</cp:coreProperties>
</file>