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center"/>
        <w:rPr>
          <w:rFonts w:ascii="Arial" w:hAnsi="Arial" w:eastAsia="Arial" w:cs="Arial"/>
        </w:rPr>
      </w:pPr>
      <w:r>
        <w:rPr>
          <w:rFonts w:eastAsia="Arial" w:cs="Arial" w:ascii="Arial" w:hAnsi="Arial"/>
        </w:rPr>
        <w:t>GENERAL GUARANTEE AGREEMENT</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pPr>
      <w:r>
        <w:rPr>
          <w:rFonts w:eastAsia="Arial" w:cs="Arial" w:ascii="Arial" w:hAnsi="Arial"/>
        </w:rPr>
        <w:tab/>
        <w:t xml:space="preserve">This GUARANTEE dated as of </w:t>
      </w:r>
      <w:r>
        <w:rPr>
          <w:rFonts w:eastAsia="Arial" w:cs="Arial" w:ascii="Arial" w:hAnsi="Arial"/>
          <w:u w:val="single"/>
        </w:rPr>
        <w:tab/>
        <w:tab/>
        <w:t xml:space="preserve"> </w:t>
      </w:r>
      <w:r>
        <w:rPr>
          <w:rFonts w:eastAsia="Arial" w:cs="Arial" w:ascii="Arial" w:hAnsi="Arial"/>
        </w:rPr>
        <w:t xml:space="preserve"> 2000</w:t>
      </w:r>
      <w:r>
        <w:rPr>
          <w:rFonts w:eastAsia="Arial" w:cs="Arial" w:ascii="Arial" w:hAnsi="Arial"/>
          <w:color w:val="000000"/>
        </w:rPr>
        <w:t>, is made by Enron Corporation , an Oregon Corporation ("Guarantor"), for the benefit of Pacific Gas and Electric Company, a California corporation ("PG&amp;E"), in consideration of PG&amp;E entering into contracts with or furnishing service or credit to Enron North America Corp., a Delaware corporation ("Guaranteed Party").</w:t>
      </w:r>
    </w:p>
    <w:p>
      <w:pPr>
        <w:pStyle w:val="Normal"/>
        <w:tabs>
          <w:tab w:val="clear" w:pos="720"/>
          <w:tab w:val="left" w:pos="0" w:leader="none"/>
        </w:tabs>
        <w:suppressAutoHyphens w:val="true"/>
        <w:rPr>
          <w:rFonts w:ascii="Arial" w:hAnsi="Arial" w:eastAsia="Arial" w:cs="Arial"/>
          <w:color w:val="000000"/>
        </w:rPr>
      </w:pPr>
      <w:r>
        <w:rPr>
          <w:rFonts w:eastAsia="Arial" w:cs="Arial" w:ascii="Arial" w:hAnsi="Arial"/>
          <w:color w:val="000000"/>
        </w:rPr>
      </w:r>
    </w:p>
    <w:p>
      <w:pPr>
        <w:pStyle w:val="Normal"/>
        <w:tabs>
          <w:tab w:val="clear" w:pos="720"/>
          <w:tab w:val="left" w:pos="0" w:leader="none"/>
        </w:tabs>
        <w:suppressAutoHyphens w:val="true"/>
        <w:rPr>
          <w:rFonts w:ascii="Arial" w:hAnsi="Arial" w:eastAsia="Arial" w:cs="Arial"/>
          <w:color w:val="000000"/>
        </w:rPr>
      </w:pPr>
      <w:r>
        <w:rPr>
          <w:rFonts w:eastAsia="Arial" w:cs="Arial" w:ascii="Arial" w:hAnsi="Arial"/>
          <w:color w:val="000000"/>
        </w:rPr>
        <w:tab/>
        <w:t>WHEREAS, PG&amp;E and Guaranteed Party have entered or expect to enter into one or more agreements, and amendments and transactions relating thereto involving the purchase, sale, transmission, transportation, distribution, lending, parking, storage, exchange or similar transactions with respect to natural gas, electricity, other energy commodities or other energy related services and financial derivatives thereof.("Agreements"):</w:t>
      </w:r>
    </w:p>
    <w:p>
      <w:pPr>
        <w:pStyle w:val="Normal"/>
        <w:tabs>
          <w:tab w:val="clear" w:pos="720"/>
          <w:tab w:val="left" w:pos="0" w:leader="none"/>
        </w:tabs>
        <w:suppressAutoHyphens w:val="true"/>
        <w:rPr>
          <w:rFonts w:ascii="Arial" w:hAnsi="Arial" w:eastAsia="Arial" w:cs="Arial"/>
          <w:color w:val="000000"/>
        </w:rPr>
      </w:pPr>
      <w:r>
        <w:rPr>
          <w:rFonts w:eastAsia="Arial" w:cs="Arial" w:ascii="Arial" w:hAnsi="Arial"/>
          <w:color w:val="000000"/>
        </w:rPr>
        <w:tab/>
      </w:r>
    </w:p>
    <w:p>
      <w:pPr>
        <w:pStyle w:val="Normal"/>
        <w:tabs>
          <w:tab w:val="clear" w:pos="720"/>
          <w:tab w:val="left" w:pos="0" w:leader="none"/>
        </w:tabs>
        <w:suppressAutoHyphens w:val="true"/>
        <w:rPr>
          <w:rFonts w:ascii="Arial" w:hAnsi="Arial" w:eastAsia="Arial" w:cs="Arial"/>
          <w:color w:val="000000"/>
        </w:rPr>
      </w:pPr>
      <w:r>
        <w:rPr>
          <w:rFonts w:eastAsia="Arial" w:cs="Arial" w:ascii="Arial" w:hAnsi="Arial"/>
          <w:color w:val="000000"/>
        </w:rPr>
        <w:tab/>
        <w:t>NOW, THEREFORE, for value received, and to induce PG&amp;E to enter into such Agreements with Guaranteed Party and to extend credit to Guaranteed Party, guarantor provides this guarantee to PG&amp;E as a part of the consideration for PG&amp;E entering into such Agreements and agrees as follows:</w:t>
      </w:r>
    </w:p>
    <w:p>
      <w:pPr>
        <w:pStyle w:val="Normal"/>
        <w:tabs>
          <w:tab w:val="clear" w:pos="720"/>
          <w:tab w:val="left" w:pos="0" w:leader="none"/>
        </w:tabs>
        <w:suppressAutoHyphens w:val="true"/>
        <w:rPr>
          <w:rFonts w:ascii="Arial" w:hAnsi="Arial" w:eastAsia="Arial" w:cs="Arial"/>
          <w:color w:val="000000"/>
        </w:rPr>
      </w:pPr>
      <w:r>
        <w:rPr>
          <w:rFonts w:eastAsia="Arial" w:cs="Arial" w:ascii="Arial" w:hAnsi="Arial"/>
          <w:color w:val="000000"/>
        </w:rPr>
      </w:r>
    </w:p>
    <w:p>
      <w:pPr>
        <w:pStyle w:val="Normal"/>
        <w:tabs>
          <w:tab w:val="clear" w:pos="720"/>
          <w:tab w:val="left" w:pos="0" w:leader="none"/>
        </w:tabs>
        <w:suppressAutoHyphens w:val="true"/>
        <w:rPr>
          <w:rFonts w:ascii="Arial" w:hAnsi="Arial" w:eastAsia="Arial" w:cs="Arial"/>
          <w:color w:val="000080"/>
        </w:rPr>
      </w:pPr>
      <w:r>
        <w:rPr>
          <w:rFonts w:eastAsia="Arial" w:cs="Arial" w:ascii="Arial" w:hAnsi="Arial"/>
          <w:color w:val="000000"/>
        </w:rPr>
        <w:tab/>
        <w:t xml:space="preserve">1.  </w:t>
      </w:r>
      <w:r>
        <w:rPr>
          <w:rFonts w:eastAsia="Arial" w:cs="Arial" w:ascii="Arial" w:hAnsi="Arial"/>
          <w:color w:val="000000"/>
          <w:u w:val="single"/>
        </w:rPr>
        <w:t>Guarantee.</w:t>
      </w:r>
      <w:r>
        <w:rPr>
          <w:rFonts w:eastAsia="Arial" w:cs="Arial" w:ascii="Arial" w:hAnsi="Arial"/>
          <w:color w:val="000000"/>
        </w:rPr>
        <w:t xml:space="preserve">  Guarantor unconditionally guarantees to PG&amp;E its successors and assigns the prompt and complete payment and performance when due, by acceleration or otherwise, of all amounts payable by, and all covenants and obligations of, Guaranteed Party under the Agreements ( collectively, the "Obligations") to a maximum amount of $ 10,000,000.00 (TEN MILLION DOLLARS) (the "guarantee cap") except as otherwise provided in section 4(f) below, plus costs of collection, including reasonable attorney's fees and any other reasonable costs of enforcing this guarantee.</w:t>
      </w:r>
    </w:p>
    <w:p>
      <w:pPr>
        <w:pStyle w:val="Normal"/>
        <w:tabs>
          <w:tab w:val="clear" w:pos="720"/>
          <w:tab w:val="left" w:pos="0" w:leader="none"/>
        </w:tabs>
        <w:suppressAutoHyphens w:val="true"/>
        <w:rPr>
          <w:rFonts w:ascii="Arial" w:hAnsi="Arial" w:eastAsia="Arial" w:cs="Arial"/>
          <w:color w:val="000080"/>
        </w:rPr>
      </w:pPr>
      <w:r>
        <w:rPr>
          <w:rFonts w:eastAsia="Arial" w:cs="Arial" w:ascii="Arial" w:hAnsi="Arial"/>
          <w:color w:val="000080"/>
        </w:rPr>
      </w:r>
    </w:p>
    <w:p>
      <w:pPr>
        <w:pStyle w:val="Normal"/>
        <w:tabs>
          <w:tab w:val="clear" w:pos="720"/>
          <w:tab w:val="left" w:pos="0" w:leader="none"/>
        </w:tabs>
        <w:suppressAutoHyphens w:val="true"/>
        <w:rPr/>
      </w:pPr>
      <w:r>
        <w:rPr>
          <w:rFonts w:eastAsia="Arial" w:cs="Arial" w:ascii="Arial" w:hAnsi="Arial"/>
          <w:color w:val="000080"/>
        </w:rPr>
        <w:tab/>
      </w:r>
      <w:r>
        <w:rPr>
          <w:rFonts w:eastAsia="Arial" w:cs="Arial" w:ascii="Arial" w:hAnsi="Arial"/>
        </w:rPr>
        <w:t xml:space="preserve">This is a continuing guarantee of payment and not of collection.  If Guaranteed Party defaults in the payment when due or any part of it for any reason, Guarantor will pay all sums due and owing directly to PG&amp;E promptly upon PG&amp;E's demand on Guarantor and without PG&amp;E's having to make prior demand on Guaranteed Party.  All payments hereunder shall be made without setoff or counterclaim except to the extent of any setoff or counterclaims and defenses to payment which Guaranteed Party has arising out of the transaction or transactions under which payment of the guarantee is sought, other than those arising out of the insolvency of, or filing under the Bankruptcy Code by, Guaranteed Party.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pPr>
      <w:r>
        <w:rPr>
          <w:rFonts w:eastAsia="Arial" w:cs="Arial" w:ascii="Arial" w:hAnsi="Arial"/>
        </w:rPr>
        <w:tab/>
        <w:t xml:space="preserve">2.  </w:t>
      </w:r>
      <w:r>
        <w:rPr>
          <w:rFonts w:eastAsia="Arial" w:cs="Arial" w:ascii="Arial" w:hAnsi="Arial"/>
          <w:u w:val="single"/>
        </w:rPr>
        <w:t>Guarantor's Obligations</w:t>
      </w:r>
      <w:r>
        <w:rPr>
          <w:rFonts w:eastAsia="Arial" w:cs="Arial" w:ascii="Arial" w:hAnsi="Arial"/>
        </w:rPr>
        <w:t>.  Guarantor's Obligations under this Guarantee are absolute and unconditional, shall remain in full force until all Obligations have been paid , or until terminated in accordance with Section 3 hereof, and shall not be released or discharged for:  (i) PG&amp;E's waiver of Guaranteed Party's performance of any obligation or Guaranteed Party's default under the Agreements; (ii) the extension of time for payment by Guaranteed Party under the Agreements or any Obligations; (iii) any delay or failure by PG&amp;E to enforce or exercise any right or remedy under the Agreements, or waiver by PG&amp;E of any such right or remedy; (iv) any transfer, assignment or mortgaging by Guaranteed Party or PG&amp;E of any interest in the Agreements or this Guarantee; (v) the release or discharge of Guaranteed Party from the observance of any obligations by operation of law or otherwise; (vi) the voluntary or involuntary liquidation, dissolution, sale or other disposition of all or substantially all the assets and liabilities, or the voluntary or involuntary receivership, insolvency, bankruptcy, assignment for the benefit of creditors, reorganization, or other similar proceeding affecting Guaranteed Party, or the disaffirmance of the Agreements in any such proceeding; (vii) any merger, consolidation or other reorganization to which Guaranteed Party, Guarantor or any related entity is a Party, or any direct or indirect sale or disposition of Guarantor's or Guaranteed Party's assets or Guarantor's direct or indirect ownership interest in Guaranteed Party; or (viii) the release, acceptance or disposal of any collateral by PG&amp;E for any of the Obligations.</w:t>
      </w:r>
      <w:r>
        <w:rPr>
          <w:rFonts w:eastAsia="Courier" w:cs="Courier" w:ascii="Courier" w:hAnsi="Courier"/>
          <w:sz w:val="24"/>
          <w:szCs w:val="24"/>
        </w:rPr>
        <w:t xml:space="preserve">  </w:t>
      </w:r>
    </w:p>
    <w:p>
      <w:pPr>
        <w:pStyle w:val="Normal"/>
        <w:tabs>
          <w:tab w:val="clear" w:pos="720"/>
          <w:tab w:val="left" w:pos="0" w:leader="none"/>
        </w:tabs>
        <w:suppressAutoHyphens w:val="true"/>
        <w:rPr>
          <w:rFonts w:ascii="Courier" w:hAnsi="Courier" w:eastAsia="Courier" w:cs="Courier"/>
          <w:sz w:val="24"/>
          <w:szCs w:val="24"/>
        </w:rPr>
      </w:pPr>
      <w:r>
        <w:rPr>
          <w:rFonts w:eastAsia="Courier" w:cs="Courier" w:ascii="Courier" w:hAnsi="Courier"/>
          <w:sz w:val="24"/>
          <w:szCs w:val="24"/>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 xml:space="preserve">Guarantor is aware of, and consents to, the terms of the Agreements and agrees that the Agreements may be amended by PG&amp;E and Guaranteed Party without notice to or consent of Guarantor and that Guarantor's Obligations hereunder shall continue in full force and effect with respect to the Agreements as so amended.  </w:t>
      </w:r>
    </w:p>
    <w:p>
      <w:pPr>
        <w:pStyle w:val="Normal"/>
        <w:tabs>
          <w:tab w:val="clear" w:pos="720"/>
          <w:tab w:val="left" w:pos="0" w:leader="none"/>
        </w:tabs>
        <w:suppressAutoHyphens w:val="true"/>
        <w:rPr>
          <w:rFonts w:ascii="Arial" w:hAnsi="Arial" w:eastAsia="Arial" w:cs="Arial"/>
        </w:rPr>
      </w:pPr>
      <w:r>
        <w:rPr>
          <w:rFonts w:eastAsia="Arial" w:cs="Arial" w:ascii="Arial" w:hAnsi="Arial"/>
        </w:rPr>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No delays on the part of PG&amp;E in the exercise of any right or remedy shall operate as a waiver thereof, and no single or partial exercise by PG&amp;E of any right or remedy shall preclude any other or further exercise thereof or the exercise of any other right or remedy.</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Guarantor shall promptly notify PG&amp;E of any material change in guarantor's credit rating or financial condition.  Guarantor shall also furnish evidence of an acceptable credit rating or financial condition to PG&amp;E upon request.  In the event that PG&amp;E determines that  Guarantor's credit worthiness has materially changed, PG&amp;E may declare Guarantor and guaranteed Party to be in default under this guarantee and the Agreements and may exercise its remedies under the Agreements and relevant provisions of PG&amp;E's Tariffs.</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pPr>
      <w:r>
        <w:fldChar w:fldCharType="begin"/>
      </w:r>
      <w:r>
        <w:rPr>
          <w:rFonts w:eastAsia="Arial" w:cs="Arial" w:ascii="Arial" w:hAnsi="Arial"/>
        </w:rPr>
        <w:instrText xml:space="preserve">ADVANCE \R 36.0</w:instrText>
      </w:r>
      <w:r>
        <w:rPr>
          <w:rFonts w:eastAsia="Arial" w:cs="Arial" w:ascii="Arial" w:hAnsi="Arial"/>
        </w:rPr>
      </w:r>
      <w:r>
        <w:rPr>
          <w:rFonts w:eastAsia="Arial" w:cs="Arial" w:ascii="Arial" w:hAnsi="Arial"/>
        </w:rPr>
        <w:fldChar w:fldCharType="separate"/>
      </w:r>
      <w:r>
        <w:rPr>
          <w:rFonts w:eastAsia="Arial" w:cs="Arial" w:ascii="Arial" w:hAnsi="Arial"/>
        </w:rPr>
      </w:r>
      <w:r>
        <w:rPr>
          <w:rFonts w:eastAsia="Arial" w:cs="Arial" w:ascii="Arial" w:hAnsi="Arial"/>
        </w:rPr>
      </w:r>
      <w:r>
        <w:rPr>
          <w:rFonts w:eastAsia="Arial" w:cs="Arial" w:ascii="Arial" w:hAnsi="Arial"/>
        </w:rPr>
        <w:fldChar w:fldCharType="end"/>
      </w:r>
      <w:r>
        <w:rPr>
          <w:rFonts w:eastAsia="Arial" w:cs="Arial" w:ascii="Arial" w:hAnsi="Arial"/>
        </w:rPr>
        <w:t xml:space="preserve">3.  </w:t>
      </w:r>
      <w:r>
        <w:rPr>
          <w:rFonts w:eastAsia="Arial" w:cs="Arial" w:ascii="Arial" w:hAnsi="Arial"/>
          <w:u w:val="single"/>
        </w:rPr>
        <w:t>Termination and/or Revocation</w:t>
      </w:r>
      <w:r>
        <w:rPr>
          <w:rFonts w:eastAsia="Arial" w:cs="Arial" w:ascii="Arial" w:hAnsi="Arial"/>
        </w:rPr>
        <w:t>:  This guarantee shall remain in full force and effect until the earlier of (1) the termination of all Agreements between Guaranteed Party and PG&amp;E subject to this Guarantee, or (2) Sixty (60) days after receipt of written notice of revocation of this Guarantee from Guarantor.  Termination or revocation of this Guarantee shall not eliminate any liability or obligation of Guarantor relating to or arising out of any Obligations or transaction under or pursuant to Agreements occurring prior to the effective date of such termination, including, without limitation, subsequent interest, late charges, or balancing account adjustments.</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pPr>
      <w:r>
        <w:rPr>
          <w:rFonts w:eastAsia="Arial" w:cs="Arial" w:ascii="Arial" w:hAnsi="Arial"/>
        </w:rPr>
        <w:tab/>
        <w:t xml:space="preserve">4.  </w:t>
      </w:r>
      <w:r>
        <w:rPr>
          <w:rFonts w:eastAsia="Arial" w:cs="Arial" w:ascii="Arial" w:hAnsi="Arial"/>
          <w:u w:val="single"/>
        </w:rPr>
        <w:t>Waivers by Guarantor</w:t>
      </w:r>
      <w:r>
        <w:rPr>
          <w:rFonts w:eastAsia="Arial" w:cs="Arial" w:ascii="Arial" w:hAnsi="Arial"/>
        </w:rPr>
        <w:t xml:space="preserve">.  </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(a)</w:t>
        <w:tab/>
        <w:t xml:space="preserve">Guarantor Waives: notice of the acceptance of this Guarantee; all notices of the making of </w:t>
        <w:tab/>
        <w:t xml:space="preserve">Agreements between PG&amp;E and Guaranteed Party or transactions under such Agreements; demand or </w:t>
        <w:tab/>
        <w:t xml:space="preserve">presentment for payment to Guaranteed Party or the making of any protest; notice of the amount of the </w:t>
        <w:tab/>
        <w:t xml:space="preserve">Obligations outstanding at any time; notice of nonpayment on the part of  </w:t>
        <w:tab/>
        <w:t xml:space="preserve">guaranteed Party; notice of any amendment, modification or waiver of or under the Agreements.  </w:t>
        <w:tab/>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(b)</w:t>
        <w:tab/>
        <w:t xml:space="preserve">PG&amp;E shall not be required to make demand on or file suit against Guaranteed Party or any </w:t>
        <w:tab/>
        <w:t xml:space="preserve">other party in an attempt to collect any obligation from Guaranteed Party or any other party, to foreclose </w:t>
        <w:tab/>
        <w:t xml:space="preserve">against </w:t>
        <w:tab/>
        <w:t xml:space="preserve">any security now or hereafter existing for the Obligations, or to exercise or exhaust any other </w:t>
        <w:tab/>
        <w:t xml:space="preserve">right or </w:t>
        <w:tab/>
        <w:t xml:space="preserve">remedy to which PG&amp;E may be entitled prior to enforcing this Guarantee.  </w:t>
      </w:r>
    </w:p>
    <w:p>
      <w:pPr>
        <w:pStyle w:val="Normal"/>
        <w:tabs>
          <w:tab w:val="clear" w:pos="720"/>
          <w:tab w:val="left" w:pos="0" w:leader="none"/>
        </w:tabs>
        <w:suppressAutoHyphens w:val="true"/>
        <w:rPr>
          <w:rFonts w:ascii="Arial" w:hAnsi="Arial" w:eastAsia="Arial" w:cs="Arial"/>
        </w:rPr>
      </w:pPr>
      <w:r>
        <w:rPr>
          <w:rFonts w:eastAsia="Arial" w:cs="Arial" w:ascii="Arial" w:hAnsi="Arial"/>
        </w:rPr>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(c)</w:t>
        <w:tab/>
        <w:t xml:space="preserve">PG&amp;E shall not be obligated to file any claim relating to the Obligations owing to it in the event </w:t>
        <w:tab/>
        <w:tab/>
        <w:t xml:space="preserve">Guaranteed Party becomes subject to a bankruptcy, reorganization or similar proceeding (whether </w:t>
        <w:tab/>
        <w:t xml:space="preserve">voluntary or involuntary), and the failure of PG&amp;E to so file shall not affect Guarantor's Obligations </w:t>
        <w:tab/>
        <w:t xml:space="preserve">hereunder.  In the event that any payment to PG&amp;E in respect to any of the Obligations is rescinded or </w:t>
        <w:tab/>
        <w:t xml:space="preserve">must otherwise be returned for any reason whatsoever, Guarantor shall remain liable hereunder in </w:t>
        <w:tab/>
        <w:t xml:space="preserve">respect </w:t>
        <w:tab/>
        <w:t>to such Obligations as if such payment had not been made.</w:t>
      </w:r>
    </w:p>
    <w:p>
      <w:pPr>
        <w:pStyle w:val="Normal"/>
        <w:tabs>
          <w:tab w:val="clear" w:pos="720"/>
          <w:tab w:val="left" w:pos="0" w:leader="none"/>
        </w:tabs>
        <w:suppressAutoHyphens w:val="true"/>
        <w:rPr>
          <w:rFonts w:ascii="Arial" w:hAnsi="Arial" w:eastAsia="Arial" w:cs="Arial"/>
        </w:rPr>
      </w:pPr>
      <w:r>
        <w:rPr>
          <w:rFonts w:eastAsia="Arial" w:cs="Arial" w:ascii="Arial" w:hAnsi="Arial"/>
        </w:rPr>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(d)</w:t>
        <w:tab/>
        <w:t xml:space="preserve">Until all Obligations have been paid in full, Guarantor waives any rights to succeed to or </w:t>
        <w:tab/>
        <w:tab/>
        <w:t xml:space="preserve">enforce any rights which PG&amp;E may have with respect to Guaranteed Party or to any collateral </w:t>
        <w:tab/>
        <w:tab/>
        <w:t xml:space="preserve">which PG&amp;E may have to secure performance of the Obligations.  Until all Obligations have </w:t>
        <w:tab/>
        <w:tab/>
        <w:t xml:space="preserve">been paid in full, Guarantor shall not claim or enforce any right of subrogation, reimbursement, </w:t>
        <w:tab/>
        <w:tab/>
        <w:t xml:space="preserve">indemnity or any similar right against Guaranteed Party on account of any payment or action </w:t>
        <w:tab/>
        <w:tab/>
        <w:t xml:space="preserve">by Guarantor under this Guarantee.  Guarantor waives all defenses based on any loss or </w:t>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 xml:space="preserve">deferral of such rights. </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(e)</w:t>
        <w:tab/>
        <w:t xml:space="preserve">Guarantor waives the defense of the statue of limitations on any action hereunder or for the  </w:t>
        <w:tab/>
        <w:tab/>
        <w:t xml:space="preserve">collection of any indebtedness of any of the Obligation hereby guaranteed.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(f)</w:t>
        <w:tab/>
        <w:t xml:space="preserve">Guarantor acknowledges that it is able to and will keep itself fully informed of Guaranteed Party's </w:t>
        <w:tab/>
        <w:t xml:space="preserve">financial condition and all contracts between Guaranteed Party and PG&amp;E that might give rise to liability </w:t>
        <w:tab/>
        <w:t xml:space="preserve">under this guarantee and waives any responsibility of PG&amp;E to inform Guarantor of any matter relating </w:t>
        <w:tab/>
        <w:t xml:space="preserve">thereto. Guarantor further agrees that, upon written notice from PG&amp;E that PG&amp;E and Guaranteed Party </w:t>
        <w:tab/>
        <w:t xml:space="preserve">have entered into additional Agreements subsequent to the date of this Guarantee, which may require an </w:t>
        <w:tab/>
        <w:t xml:space="preserve">increase in the guarantee cap, said guarantee cap may be adjusted accordingly to meet the security </w:t>
        <w:tab/>
        <w:t xml:space="preserve">requirements of PG&amp;E. The increased cap will become effective five business days thereafter unless the </w:t>
        <w:tab/>
        <w:t xml:space="preserve">Guarantor provides PG&amp;E with notice of rejection of the cap increase within the five day period.   </w:t>
        <w:tab/>
        <w:t xml:space="preserve">Guarantor understands that its rejection of the cap increase may result in Guaranteed Party being </w:t>
        <w:tab/>
        <w:t xml:space="preserve">required to establish credit from another source or, to provide other forms of security, (i.e. letter of  </w:t>
        <w:tab/>
        <w:t xml:space="preserve">credit, surety bond, etc.) or where applicable, termination of Service or Agreements with Guaranteed </w:t>
        <w:tab/>
        <w:t xml:space="preserve">Party. </w:t>
        <w:tab/>
        <w:t xml:space="preserve">Guarantor further understands that its rejection of the cap increase will not effect the guarantee </w:t>
        <w:tab/>
        <w:t xml:space="preserve">and that all provisions of this guarantee will remain effective and enforceable.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(g)</w:t>
        <w:tab/>
        <w:t xml:space="preserve">Guarantor explicitly waives the suretyship defense outlined in Section 2819 of the California Civil </w:t>
        <w:tab/>
        <w:t xml:space="preserve">Code which provides, in part, that a surety is exonerated if the creditor alters the original obligation of the </w:t>
        <w:tab/>
        <w:t xml:space="preserve">principal without the consent of the surety.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pPr>
      <w:r>
        <w:rPr>
          <w:rFonts w:eastAsia="Arial" w:cs="Arial" w:ascii="Arial" w:hAnsi="Arial"/>
        </w:rPr>
        <w:tab/>
        <w:t xml:space="preserve">5. </w:t>
        <w:tab/>
      </w:r>
      <w:r>
        <w:rPr>
          <w:rFonts w:eastAsia="Arial" w:cs="Arial" w:ascii="Arial" w:hAnsi="Arial"/>
          <w:u w:val="single"/>
        </w:rPr>
        <w:t>Representation and Warranties</w:t>
      </w:r>
      <w:r>
        <w:rPr>
          <w:rFonts w:eastAsia="Arial" w:cs="Arial" w:ascii="Arial" w:hAnsi="Arial"/>
        </w:rPr>
        <w:t>.  Guarantor hereby represents and warrants that (i) it is a corporation duly organized, validly existing and in good standing under the laws of the jurisdiction of its incorporation, (ii) the execution, delivery and performance by Guarantor of this Guarantee are within its corporate powers, have been duly authorized by all necessary corporate action and do not violate Guarantor's charter or by-laws or any law, order or contractual restriction binding on Guarantor, (iii) no consents of or filings with any governmental authority or any other person are required for the execution, delivery, performance or enforceability of this Guarantee, except those which have been duly obtained or made, and (iv) this Guarantee has been duly authorized, executed and delivered by Guarantor and constitutes its legal, valid and binding obligation, enforceable against it in accordance with its terms (except as enforceability may be limited by bankruptcy, insolvency, moratorium and other similar laws affecting enforcement of creditors' rights in general and general principles of equity).</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pPr>
      <w:r>
        <w:rPr>
          <w:rFonts w:eastAsia="Arial" w:cs="Arial" w:ascii="Arial" w:hAnsi="Arial"/>
        </w:rPr>
        <w:tab/>
        <w:t xml:space="preserve">6.  </w:t>
      </w:r>
      <w:r>
        <w:rPr>
          <w:rFonts w:eastAsia="Arial" w:cs="Arial" w:ascii="Arial" w:hAnsi="Arial"/>
          <w:u w:val="single"/>
        </w:rPr>
        <w:t>Miscellaneous</w:t>
      </w:r>
      <w:r>
        <w:rPr>
          <w:rFonts w:eastAsia="Arial" w:cs="Arial" w:ascii="Arial" w:hAnsi="Arial"/>
        </w:rPr>
        <w:t>.</w:t>
      </w:r>
      <w:r>
        <w:rPr>
          <w:rFonts w:eastAsia="Courier" w:cs="Courier" w:ascii="Courier" w:hAnsi="Courier"/>
          <w:sz w:val="24"/>
          <w:szCs w:val="24"/>
        </w:rPr>
        <w:t xml:space="preserve">  </w:t>
      </w:r>
    </w:p>
    <w:p>
      <w:pPr>
        <w:pStyle w:val="Normal"/>
        <w:tabs>
          <w:tab w:val="clear" w:pos="720"/>
          <w:tab w:val="left" w:pos="0" w:leader="none"/>
        </w:tabs>
        <w:suppressAutoHyphens w:val="true"/>
        <w:rPr>
          <w:rFonts w:ascii="Arial" w:hAnsi="Arial" w:eastAsia="Arial" w:cs="Arial"/>
          <w:sz w:val="24"/>
          <w:szCs w:val="24"/>
        </w:rPr>
      </w:pPr>
      <w:r>
        <w:rPr>
          <w:rFonts w:eastAsia="Arial" w:cs="Arial" w:ascii="Arial" w:hAnsi="Arial"/>
          <w:sz w:val="24"/>
          <w:szCs w:val="24"/>
        </w:rPr>
      </w:r>
    </w:p>
    <w:p>
      <w:pPr>
        <w:pStyle w:val="Normal"/>
        <w:tabs>
          <w:tab w:val="left" w:pos="0" w:leader="none"/>
          <w:tab w:val="left" w:pos="720" w:leader="none"/>
          <w:tab w:val="left" w:pos="1440" w:leader="none"/>
        </w:tabs>
        <w:suppressAutoHyphens w:val="true"/>
        <w:ind w:hanging="2160" w:start="2160" w:end="0"/>
        <w:rPr>
          <w:rFonts w:ascii="Arial" w:hAnsi="Arial" w:eastAsia="Arial" w:cs="Arial"/>
        </w:rPr>
      </w:pPr>
      <w:r>
        <w:rPr>
          <w:rFonts w:eastAsia="Arial" w:cs="Arial" w:ascii="Arial" w:hAnsi="Arial"/>
        </w:rPr>
        <w:tab/>
        <w:tab/>
        <w:t>(a)</w:t>
        <w:tab/>
        <w:t xml:space="preserve">No provision of this Guarantee may be amended or waived except by a written </w:t>
      </w:r>
    </w:p>
    <w:p>
      <w:pPr>
        <w:pStyle w:val="Normal"/>
        <w:tabs>
          <w:tab w:val="left" w:pos="0" w:leader="none"/>
          <w:tab w:val="left" w:pos="720" w:leader="none"/>
          <w:tab w:val="left" w:pos="1440" w:leader="none"/>
        </w:tabs>
        <w:suppressAutoHyphens w:val="true"/>
        <w:ind w:hanging="2160" w:start="2160" w:end="0"/>
        <w:rPr>
          <w:rFonts w:ascii="Arial" w:hAnsi="Arial" w:eastAsia="Arial" w:cs="Arial"/>
        </w:rPr>
      </w:pPr>
      <w:r>
        <w:rPr>
          <w:rFonts w:eastAsia="Arial" w:cs="Arial" w:ascii="Arial" w:hAnsi="Arial"/>
        </w:rPr>
        <w:tab/>
        <w:tab/>
        <w:t xml:space="preserve">instrument executed by Guarantor and PG&amp;E.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 xml:space="preserve">(b) </w:t>
        <w:tab/>
        <w:t xml:space="preserve">This Guarantee shall bind and benefit the successors and assigns of Guarantor and </w:t>
        <w:tab/>
        <w:tab/>
        <w:tab/>
        <w:t xml:space="preserve">PG&amp;E, but Guarantor may not assign its obligations hereunder without the prior written </w:t>
        <w:tab/>
        <w:tab/>
        <w:tab/>
        <w:tab/>
        <w:t xml:space="preserve">consent of PG&amp;E.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(c)</w:t>
        <w:tab/>
        <w:t xml:space="preserve">This Guarantee shall not be deemed to benefit any person except PG&amp;E and its </w:t>
        <w:tab/>
        <w:tab/>
        <w:tab/>
        <w:tab/>
        <w:t xml:space="preserve">successors and assigns (including any holder of a collateral security interest in PG&amp;E's </w:t>
        <w:tab/>
        <w:tab/>
        <w:tab/>
        <w:tab/>
        <w:t xml:space="preserve">rights under this Guarantee).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(d)</w:t>
        <w:tab/>
        <w:t xml:space="preserve">Guarantor agrees to pay, and shall be liable for, in addition to any Obligations which it </w:t>
        <w:tab/>
        <w:tab/>
        <w:tab/>
        <w:t xml:space="preserve">has guaranteed to pay, any and all costs and expenses incurred by PG&amp;E (including reasonable </w:t>
        <w:tab/>
        <w:tab/>
        <w:tab/>
        <w:t>attorney's fees) incurred as a result of enforcing this Guarantee.</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(e)</w:t>
        <w:tab/>
        <w:t xml:space="preserve">Should any one or more provisions of this Guaranty be determined to be illegal or </w:t>
        <w:tab/>
        <w:tab/>
        <w:tab/>
        <w:t>unenforceable, all other provisions shall nevertheless be effective and enforceable.</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(f)</w:t>
        <w:tab/>
        <w:t xml:space="preserve">In the event of an ambiguity in or dispute regarding the interpretation of this instrument, </w:t>
        <w:tab/>
        <w:tab/>
        <w:tab/>
        <w:t xml:space="preserve">the interpretation shall not be resolved by any rule providing for interpretation against the party </w:t>
        <w:tab/>
        <w:tab/>
        <w:tab/>
        <w:t>who causes the uncertainty to exist or against the drafting party.</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(g)</w:t>
        <w:tab/>
        <w:t xml:space="preserve">This Guarantee shall be governed by, and construed in accordance with, the laws of  </w:t>
        <w:tab/>
        <w:tab/>
        <w:tab/>
        <w:t xml:space="preserve">the State of California.  Any and all litigation or alternative dispute resolution proceeding that </w:t>
        <w:tab/>
        <w:tab/>
        <w:tab/>
        <w:t xml:space="preserve">may arise as a result of this Guaranty shall be brought and litigated in the courts of the State of </w:t>
        <w:tab/>
        <w:tab/>
        <w:tab/>
        <w:t>California.</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(h)</w:t>
        <w:tab/>
        <w:t xml:space="preserve">Any notice or other communication given hereunder by either Guarantor or PG&amp;E to </w:t>
        <w:tab/>
        <w:tab/>
        <w:tab/>
        <w:t xml:space="preserve">the other party ("Notice") shall be in writing and delivered personally or by registered or certified </w:t>
        <w:tab/>
        <w:tab/>
        <w:tab/>
        <w:t>mail, postage prepaid and return receipt requested, or by facsimile, as follows:</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i)</w:t>
        <w:tab/>
        <w:t>If to Guarantor:</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Guarantor:</w:t>
        <w:tab/>
        <w:t>____________________________________________</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Address:</w:t>
        <w:tab/>
        <w:t>____________________________________________</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ab/>
        <w:tab/>
        <w:t>____________________________________________</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Attention:</w:t>
        <w:tab/>
        <w:t>____________________________________________</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ii)</w:t>
        <w:tab/>
        <w:t>If to PG&amp;E:</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Pacific Gas and Electric Company</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77 Beale Street, Mail Code B28L</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San Francisco, CA  94105</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Attention:  Jack Foley</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ab/>
        <w:t>Fax: 415/973-7301</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 xml:space="preserve">Notice given by personal delivery or mail shall be effective upon actual receipt.  Notice given by </w:t>
        <w:tab/>
        <w:tab/>
        <w:tab/>
        <w:t xml:space="preserve">facsimile shall be effective upon actual receipt if received during the recipient's normal business </w:t>
        <w:tab/>
        <w:tab/>
        <w:tab/>
        <w:t xml:space="preserve">hours, or at the beginning of the recipient's next business day after receipt if not received during </w:t>
        <w:tab/>
        <w:tab/>
        <w:tab/>
        <w:t xml:space="preserve">the recipient's normal business hours.  All notices by facsimile shall be confirmed by the sender </w:t>
        <w:tab/>
        <w:tab/>
        <w:tab/>
        <w:t xml:space="preserve">promptly after transmission in writing by certified mail or personal delivery.  Any party may </w:t>
        <w:tab/>
        <w:tab/>
        <w:tab/>
        <w:t xml:space="preserve">change any address to which notice is to be given to it by giving notice as provided above of </w:t>
        <w:tab/>
        <w:tab/>
        <w:tab/>
        <w:t>such changes of address.</w:t>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r>
    </w:p>
    <w:p>
      <w:pPr>
        <w:pStyle w:val="Normal"/>
        <w:tabs>
          <w:tab w:val="left" w:pos="0" w:leader="none"/>
          <w:tab w:val="left" w:pos="720" w:leader="none"/>
          <w:tab w:val="left" w:pos="1440" w:leader="none"/>
        </w:tabs>
        <w:suppressAutoHyphens w:val="true"/>
        <w:ind w:hanging="2160" w:start="2160" w:end="0"/>
        <w:rPr>
          <w:rFonts w:ascii="Arial" w:hAnsi="Arial" w:eastAsia="Arial" w:cs="Arial"/>
        </w:rPr>
      </w:pPr>
      <w:r>
        <w:rPr>
          <w:rFonts w:eastAsia="Arial" w:cs="Arial" w:ascii="Arial" w:hAnsi="Arial"/>
        </w:rPr>
        <w:tab/>
        <w:tab/>
        <w:t>(i)</w:t>
        <w:tab/>
        <w:t>Where there are other guarantees to PG&amp;E  by Guarantor for or concerning Obligations of Guaranteed Party, or other guarantees between the parties, or any other agreements between the parties, and there is conflict or other inconsistency in the language of the agreements, the provisions of this agreement shall govern the rights and obligations of the parties under this guarantee.</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left" w:pos="0" w:leader="none"/>
          <w:tab w:val="left" w:pos="720" w:leader="none"/>
          <w:tab w:val="left" w:pos="1440" w:leader="none"/>
        </w:tabs>
        <w:suppressAutoHyphens w:val="true"/>
        <w:ind w:hanging="2160" w:start="2160" w:end="0"/>
        <w:rPr>
          <w:rFonts w:ascii="Arial" w:hAnsi="Arial" w:eastAsia="Arial" w:cs="Arial"/>
        </w:rPr>
      </w:pPr>
      <w:r>
        <w:rPr>
          <w:rFonts w:eastAsia="Arial" w:cs="Arial" w:ascii="Arial" w:hAnsi="Arial"/>
        </w:rPr>
        <w:tab/>
        <w:tab/>
        <w:t>(j)</w:t>
        <w:tab/>
        <w:t>This continuing guarantee shall at all times be subject to such changes or modifications</w:t>
      </w:r>
    </w:p>
    <w:p>
      <w:pPr>
        <w:pStyle w:val="Normal"/>
        <w:tabs>
          <w:tab w:val="left" w:pos="0" w:leader="none"/>
          <w:tab w:val="left" w:pos="720" w:leader="none"/>
          <w:tab w:val="left" w:pos="1440" w:leader="none"/>
        </w:tabs>
        <w:suppressAutoHyphens w:val="true"/>
        <w:ind w:hanging="2160" w:start="2160" w:end="0"/>
        <w:rPr>
          <w:rFonts w:ascii="Arial" w:hAnsi="Arial" w:eastAsia="Arial" w:cs="Arial"/>
        </w:rPr>
      </w:pPr>
      <w:r>
        <w:rPr>
          <w:rFonts w:eastAsia="Arial" w:cs="Arial" w:ascii="Arial" w:hAnsi="Arial"/>
        </w:rPr>
        <w:tab/>
        <w:tab/>
        <w:tab/>
        <w:t xml:space="preserve">by the California Public Utilities Commission as it may, from time to time, direct in the exercise of its jurisdiction. </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left" w:pos="0" w:leader="none"/>
          <w:tab w:val="left" w:pos="720" w:leader="none"/>
        </w:tabs>
        <w:suppressAutoHyphens w:val="true"/>
        <w:ind w:hanging="1440" w:start="1440" w:end="0"/>
        <w:rPr>
          <w:rFonts w:ascii="Arial" w:hAnsi="Arial" w:eastAsia="Arial" w:cs="Arial"/>
        </w:rPr>
      </w:pPr>
      <w:r>
        <w:rPr>
          <w:rFonts w:eastAsia="Arial" w:cs="Arial" w:ascii="Arial" w:hAnsi="Arial"/>
        </w:rPr>
        <w:tab/>
        <w:tab/>
        <w:t>IN WITNESS WHEREOF, Guarantor has executed this Guarantee as of the date first above written.</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Guarantor:</w:t>
        <w:tab/>
        <w:t>____________________________________________</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Arial" w:hAnsi="Arial" w:eastAsia="Arial" w:cs="Arial"/>
        </w:rPr>
      </w:pPr>
      <w:r>
        <w:rPr>
          <w:rFonts w:eastAsia="Arial" w:cs="Arial" w:ascii="Arial" w:hAnsi="Arial"/>
        </w:rPr>
        <w:tab/>
        <w:tab/>
        <w:tab/>
        <w:t>Signature:</w:t>
        <w:tab/>
        <w:t>____________________________________________</w:t>
      </w:r>
    </w:p>
    <w:p>
      <w:pPr>
        <w:pStyle w:val="Normal"/>
        <w:tabs>
          <w:tab w:val="clear" w:pos="720"/>
          <w:tab w:val="left" w:pos="0" w:leader="none"/>
        </w:tabs>
        <w:suppressAutoHyphens w:val="true"/>
        <w:rPr>
          <w:rFonts w:ascii="Arial" w:hAnsi="Arial" w:eastAsia="Arial" w:cs="Arial"/>
        </w:rPr>
      </w:pPr>
      <w:r>
        <w:rPr>
          <w:rFonts w:eastAsia="Arial" w:cs="Arial" w:ascii="Arial" w:hAnsi="Arial"/>
        </w:rPr>
      </w:r>
    </w:p>
    <w:p>
      <w:pPr>
        <w:pStyle w:val="Normal"/>
        <w:tabs>
          <w:tab w:val="clear" w:pos="720"/>
          <w:tab w:val="left" w:pos="0" w:leader="none"/>
        </w:tabs>
        <w:suppressAutoHyphens w:val="true"/>
        <w:rPr>
          <w:rFonts w:ascii="Courier" w:hAnsi="Courier" w:eastAsia="Courier" w:cs="Courier"/>
          <w:sz w:val="24"/>
          <w:szCs w:val="24"/>
        </w:rPr>
      </w:pPr>
      <w:r>
        <w:rPr>
          <w:rFonts w:eastAsia="Arial" w:cs="Arial" w:ascii="Arial" w:hAnsi="Arial"/>
        </w:rPr>
        <w:tab/>
        <w:tab/>
        <w:tab/>
        <w:t>Name and Title of Signature: _________________________________</w:t>
      </w:r>
    </w:p>
    <w:p>
      <w:pPr>
        <w:pStyle w:val="Normal"/>
        <w:tabs>
          <w:tab w:val="clear" w:pos="720"/>
          <w:tab w:val="left" w:pos="0" w:leader="none"/>
        </w:tabs>
        <w:suppressAutoHyphens w:val="true"/>
        <w:rPr>
          <w:rFonts w:ascii="Courier" w:hAnsi="Courier" w:eastAsia="Courier" w:cs="Courier"/>
          <w:sz w:val="24"/>
          <w:szCs w:val="24"/>
          <w:vertAlign w:val="superscript"/>
        </w:rPr>
      </w:pPr>
      <w:r>
        <w:rPr>
          <w:rFonts w:eastAsia="Courier" w:cs="Courier" w:ascii="Courier" w:hAnsi="Courier"/>
          <w:sz w:val="24"/>
          <w:szCs w:val="24"/>
          <w:vertAlign w:val="superscript"/>
        </w:rPr>
      </w:r>
    </w:p>
    <w:p>
      <w:pPr>
        <w:pStyle w:val="Normal"/>
        <w:tabs>
          <w:tab w:val="clear" w:pos="720"/>
          <w:tab w:val="left" w:pos="0" w:leader="none"/>
        </w:tabs>
        <w:suppressAutoHyphens w:val="true"/>
        <w:rPr>
          <w:rFonts w:ascii="Courier" w:hAnsi="Courier" w:eastAsia="Courier" w:cs="Courier"/>
          <w:sz w:val="24"/>
          <w:szCs w:val="24"/>
          <w:vertAlign w:val="superscript"/>
        </w:rPr>
      </w:pPr>
      <w:r>
        <w:rPr>
          <w:rFonts w:eastAsia="Courier" w:cs="Courier" w:ascii="Courier" w:hAnsi="Courier"/>
          <w:sz w:val="24"/>
          <w:szCs w:val="24"/>
          <w:vertAlign w:val="superscript"/>
        </w:rPr>
      </w:r>
    </w:p>
    <w:sectPr>
      <w:footerReference w:type="default" r:id="rId2"/>
      <w:type w:val="nextPage"/>
      <w:pgSz w:w="12240" w:h="15840"/>
      <w:pgMar w:left="1080" w:right="1080" w:gutter="0" w:header="0" w:top="1080" w:footer="360" w:bottom="41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left" w:pos="0" w:leader="none"/>
      </w:tabs>
      <w:suppressAutoHyphens w:val="true"/>
      <w:spacing w:lineRule="exact" w:line="18"/>
      <w:rPr>
        <w:rFonts w:ascii="Courier" w:hAnsi="Courier" w:eastAsia="Courier" w:cs="Courier"/>
        <w:sz w:val="24"/>
        <w:szCs w:val="24"/>
      </w:rPr>
    </w:pPr>
    <w:r>
      <w:rPr>
        <w:rFonts w:eastAsia="Courier" w:cs="Courier" w:ascii="Courier" w:hAnsi="Courier"/>
        <w:sz w:val="24"/>
        <w:szCs w:val="24"/>
      </w:rPr>
    </w:r>
  </w:p>
  <w:p>
    <w:pPr>
      <w:pStyle w:val="Normal"/>
      <w:tabs>
        <w:tab w:val="clear" w:pos="720"/>
        <w:tab w:val="left" w:pos="0" w:leader="none"/>
      </w:tabs>
      <w:suppressAutoHyphens w:val="true"/>
      <w:rPr>
        <w:rFonts w:ascii="Courier" w:hAnsi="Courier" w:eastAsia="Courier" w:cs="Courier"/>
        <w:sz w:val="24"/>
        <w:szCs w:val="24"/>
      </w:rPr>
    </w:pPr>
    <w:r>
      <w:rPr>
        <w:rFonts w:eastAsia="Courier" w:cs="Courier" w:ascii="Courier" w:hAnsi="Courier"/>
        <w:sz w:val="24"/>
        <w:szCs w:val="24"/>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rPr>
      <w:sz w:val="24"/>
      <w:szCs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1998-08-04T18:56:00Z</dcterms:created>
  <dc:creator>A Valued Microsoft Customer</dc:creator>
  <dc:description/>
  <dc:language>en-CA</dc:language>
  <cp:lastModifiedBy>Jack Foley</cp:lastModifiedBy>
  <cp:lastPrinted>1998-03-04T15:01:00Z</cp:lastPrinted>
  <dcterms:modified xsi:type="dcterms:W3CDTF">2000-05-01T14:16:00Z</dcterms:modified>
  <cp:revision>4</cp:revision>
  <dc:subject/>
  <dc:title>12/29/97 DRAFT CONTINUING GUARANTEE</dc:title>
</cp:coreProperties>
</file>